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КРАСНОЗОРЕНСКИЙ РАЙОН</w:t>
      </w:r>
    </w:p>
    <w:p w:rsidR="000B24FC" w:rsidRPr="004E08D6" w:rsidRDefault="000B24FC" w:rsidP="000B24FC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АДМИНИСТРАЦИЯ УСПЕНСКОГО СЕЛЬСКОГО ПОСЕЛЕНИЯ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A34634" w:rsidP="00A34634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422B4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844ECE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3C151E">
        <w:rPr>
          <w:rFonts w:ascii="Times New Roman" w:hAnsi="Times New Roman" w:cs="Times New Roman"/>
          <w:bCs/>
          <w:sz w:val="28"/>
          <w:szCs w:val="28"/>
        </w:rPr>
        <w:t>20</w:t>
      </w:r>
      <w:r w:rsidR="000B24F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3C15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422B4">
        <w:rPr>
          <w:rFonts w:ascii="Times New Roman" w:hAnsi="Times New Roman" w:cs="Times New Roman"/>
          <w:bCs/>
          <w:sz w:val="28"/>
          <w:szCs w:val="28"/>
        </w:rPr>
        <w:t>13</w:t>
      </w:r>
    </w:p>
    <w:p w:rsidR="003C151E" w:rsidRDefault="000B24FC" w:rsidP="000B24FC">
      <w:pPr>
        <w:widowControl/>
        <w:tabs>
          <w:tab w:val="left" w:pos="855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с.Пол-Успенье</w:t>
      </w:r>
    </w:p>
    <w:p w:rsidR="003C151E" w:rsidRDefault="003C151E" w:rsidP="000B24FC">
      <w:pPr>
        <w:widowControl/>
        <w:suppressAutoHyphens/>
        <w:ind w:firstLine="0"/>
        <w:jc w:val="center"/>
        <w:rPr>
          <w:b/>
        </w:rPr>
      </w:pPr>
    </w:p>
    <w:p w:rsidR="000B24FC" w:rsidRDefault="000B24FC" w:rsidP="00844ECE">
      <w:pPr>
        <w:widowControl/>
        <w:suppressAutoHyphens/>
        <w:ind w:firstLine="0"/>
        <w:rPr>
          <w:b/>
        </w:rPr>
      </w:pPr>
    </w:p>
    <w:p w:rsidR="000B24FC" w:rsidRDefault="003C151E" w:rsidP="00844ECE">
      <w:pPr>
        <w:widowControl/>
        <w:tabs>
          <w:tab w:val="left" w:pos="84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B24FC">
        <w:rPr>
          <w:rFonts w:ascii="Times New Roman" w:hAnsi="Times New Roman" w:cs="Times New Roman"/>
          <w:sz w:val="28"/>
          <w:szCs w:val="28"/>
        </w:rPr>
        <w:t>О некоторых вопросах реализации</w:t>
      </w:r>
    </w:p>
    <w:p w:rsidR="000B24FC" w:rsidRDefault="003C151E" w:rsidP="00844ECE">
      <w:pPr>
        <w:widowControl/>
        <w:tabs>
          <w:tab w:val="left" w:pos="84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B24F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B67E6" w:rsidRPr="000B24FC">
        <w:rPr>
          <w:rFonts w:ascii="Times New Roman" w:hAnsi="Times New Roman" w:cs="Times New Roman"/>
          <w:sz w:val="28"/>
          <w:szCs w:val="28"/>
        </w:rPr>
        <w:t xml:space="preserve"> </w:t>
      </w:r>
      <w:r w:rsidRPr="000B24FC">
        <w:rPr>
          <w:rFonts w:ascii="Times New Roman" w:hAnsi="Times New Roman" w:cs="Times New Roman"/>
          <w:sz w:val="28"/>
          <w:szCs w:val="28"/>
        </w:rPr>
        <w:t xml:space="preserve">об обеспечении </w:t>
      </w:r>
    </w:p>
    <w:p w:rsidR="000B24FC" w:rsidRDefault="003C151E" w:rsidP="00844ECE">
      <w:pPr>
        <w:widowControl/>
        <w:tabs>
          <w:tab w:val="left" w:pos="84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B24FC">
        <w:rPr>
          <w:rFonts w:ascii="Times New Roman" w:hAnsi="Times New Roman" w:cs="Times New Roman"/>
          <w:sz w:val="28"/>
          <w:szCs w:val="28"/>
        </w:rPr>
        <w:t>доступа к информации о деятельности</w:t>
      </w:r>
    </w:p>
    <w:p w:rsidR="006F3D93" w:rsidRDefault="00A34634" w:rsidP="00844ECE">
      <w:pPr>
        <w:widowControl/>
        <w:tabs>
          <w:tab w:val="left" w:pos="84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4FC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C151E" w:rsidRDefault="000B24FC" w:rsidP="00844ECE">
      <w:pPr>
        <w:widowControl/>
        <w:tabs>
          <w:tab w:val="left" w:pos="84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3D93">
        <w:rPr>
          <w:rFonts w:ascii="Times New Roman" w:hAnsi="Times New Roman" w:cs="Times New Roman"/>
          <w:sz w:val="28"/>
          <w:szCs w:val="28"/>
        </w:rPr>
        <w:t xml:space="preserve"> Краснозоренского района 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24FC" w:rsidRPr="000B24FC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4FC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A34634">
        <w:rPr>
          <w:rFonts w:ascii="Times New Roman" w:hAnsi="Times New Roman" w:cs="Times New Roman"/>
          <w:sz w:val="28"/>
          <w:szCs w:val="28"/>
        </w:rPr>
        <w:t xml:space="preserve">, </w:t>
      </w:r>
      <w:r w:rsidR="000B2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4FC" w:rsidRPr="000B24FC">
        <w:rPr>
          <w:rFonts w:ascii="Times New Roman" w:hAnsi="Times New Roman" w:cs="Times New Roman"/>
          <w:sz w:val="28"/>
          <w:szCs w:val="28"/>
        </w:rPr>
        <w:t xml:space="preserve">администрация Успенского сельского поселения </w:t>
      </w:r>
    </w:p>
    <w:p w:rsid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P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151E" w:rsidRPr="000B24FC">
        <w:rPr>
          <w:rFonts w:ascii="Times New Roman" w:hAnsi="Times New Roman" w:cs="Times New Roman"/>
          <w:b/>
          <w:sz w:val="28"/>
          <w:szCs w:val="28"/>
        </w:rPr>
        <w:t>:</w:t>
      </w:r>
    </w:p>
    <w:p w:rsidR="003C151E" w:rsidRPr="00A34634" w:rsidRDefault="003C151E" w:rsidP="003C151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3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8" w:anchor="Par39" w:history="1">
        <w:r w:rsidRPr="00A34634">
          <w:rPr>
            <w:rStyle w:val="aff1"/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4FC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</w:rPr>
        <w:t xml:space="preserve"> Краснозоренского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4FC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B24FC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ответственным за обеспечением доступа пользователей информации к информации о деятельности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 администрации Успенского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Успенского сельского поселения Невзорову  Ольгу Викторовну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FC" w:rsidRDefault="003C151E" w:rsidP="000B24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0B24FC">
        <w:rPr>
          <w:rFonts w:ascii="Times New Roman" w:hAnsi="Times New Roman" w:cs="Times New Roman"/>
          <w:sz w:val="28"/>
          <w:szCs w:val="28"/>
        </w:rPr>
        <w:lastRenderedPageBreak/>
        <w:t>специалиста администрации Успенского сельского поселения Невзорову  Ольгу Викторовну ;</w:t>
      </w:r>
    </w:p>
    <w:p w:rsidR="000B24FC" w:rsidRDefault="000B24FC" w:rsidP="000B24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151E">
        <w:rPr>
          <w:rFonts w:ascii="Times New Roman" w:hAnsi="Times New Roman" w:cs="Times New Roman"/>
          <w:sz w:val="28"/>
          <w:szCs w:val="28"/>
        </w:rPr>
        <w:t>4.3. размещение информации в здании</w:t>
      </w:r>
      <w:r w:rsidR="00A34634">
        <w:rPr>
          <w:rFonts w:ascii="Times New Roman" w:hAnsi="Times New Roman" w:cs="Times New Roman"/>
          <w:sz w:val="28"/>
          <w:szCs w:val="28"/>
        </w:rPr>
        <w:t xml:space="preserve"> (помещениях)</w:t>
      </w:r>
      <w:r w:rsidR="003C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r w:rsidR="003C151E">
        <w:rPr>
          <w:rFonts w:ascii="Times New Roman" w:hAnsi="Times New Roman" w:cs="Times New Roman"/>
          <w:i/>
          <w:sz w:val="28"/>
          <w:szCs w:val="28"/>
        </w:rPr>
        <w:t>,</w:t>
      </w:r>
      <w:r w:rsidR="003C151E"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Успенского сельского поселения Невзорову  Ольгу Викторовну ;</w:t>
      </w:r>
    </w:p>
    <w:p w:rsidR="004E35A0" w:rsidRDefault="000B24FC" w:rsidP="004E35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5A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C151E"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4E35A0">
        <w:rPr>
          <w:rFonts w:ascii="Times New Roman" w:hAnsi="Times New Roman" w:cs="Times New Roman"/>
          <w:sz w:val="28"/>
          <w:szCs w:val="28"/>
        </w:rPr>
        <w:t>ведущего специалиста администрации Успенского сельского поселения Невзорову  Ольгу Викторовну ;</w:t>
      </w:r>
    </w:p>
    <w:p w:rsidR="004E35A0" w:rsidRDefault="004E35A0" w:rsidP="004E35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3C151E"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r w:rsidR="003C15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Успенского сельского поселения Невзорову  Ольгу Викторовну ;</w:t>
      </w:r>
    </w:p>
    <w:p w:rsidR="003C151E" w:rsidRDefault="00A34634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E35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31DE9" w:rsidRPr="00731DE9" w:rsidRDefault="00A34634" w:rsidP="00731D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</w:t>
      </w:r>
      <w:r w:rsidR="002C11D0" w:rsidRPr="00D96FAA">
        <w:rPr>
          <w:sz w:val="28"/>
          <w:szCs w:val="28"/>
        </w:rPr>
        <w:t xml:space="preserve"> </w:t>
      </w:r>
      <w:r w:rsidR="00731DE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</w:t>
      </w:r>
      <w:r w:rsidR="00731DE9" w:rsidRPr="00731DE9">
        <w:rPr>
          <w:rFonts w:ascii="Times New Roman" w:hAnsi="Times New Roman" w:cs="Times New Roman"/>
          <w:sz w:val="28"/>
          <w:szCs w:val="28"/>
        </w:rPr>
        <w:t xml:space="preserve"> </w:t>
      </w:r>
      <w:r w:rsidR="00731DE9" w:rsidRPr="000008AC">
        <w:rPr>
          <w:rFonts w:ascii="Times New Roman" w:hAnsi="Times New Roman" w:cs="Times New Roman"/>
          <w:sz w:val="28"/>
          <w:szCs w:val="28"/>
        </w:rPr>
        <w:t>сайте администрации Успенского сельского поселения</w:t>
      </w:r>
      <w:r w:rsidR="00731DE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"Интернет".</w:t>
      </w: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1D0" w:rsidRPr="000008AC" w:rsidRDefault="002C11D0" w:rsidP="00731DE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35A0" w:rsidRDefault="002C11D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5A0">
        <w:rPr>
          <w:rFonts w:ascii="Times New Roman" w:hAnsi="Times New Roman" w:cs="Times New Roman"/>
          <w:sz w:val="28"/>
          <w:szCs w:val="28"/>
        </w:rPr>
        <w:t xml:space="preserve">Глава Успенского </w:t>
      </w:r>
    </w:p>
    <w:p w:rsidR="0059573D" w:rsidRDefault="002C11D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5A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Н.И. Казьмина</w:t>
      </w: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08AC" w:rsidRDefault="000008AC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08AC" w:rsidRDefault="000008AC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08AC" w:rsidRDefault="000008AC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08AC" w:rsidRDefault="000008AC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08AC" w:rsidRDefault="000008AC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6F3D93">
      <w:pPr>
        <w:widowControl/>
        <w:tabs>
          <w:tab w:val="left" w:pos="7905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8A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35A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E35A0" w:rsidRPr="00C37DAC" w:rsidRDefault="004E35A0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7110D7" w:rsidRPr="00C37DAC" w:rsidRDefault="006422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844ECE">
        <w:rPr>
          <w:rFonts w:ascii="Times New Roman" w:hAnsi="Times New Roman" w:cs="Times New Roman"/>
          <w:sz w:val="28"/>
          <w:szCs w:val="28"/>
        </w:rPr>
        <w:t xml:space="preserve">  июня </w:t>
      </w:r>
      <w:r w:rsidR="007110D7" w:rsidRPr="00C37DAC">
        <w:rPr>
          <w:rFonts w:ascii="Times New Roman" w:hAnsi="Times New Roman" w:cs="Times New Roman"/>
          <w:sz w:val="28"/>
          <w:szCs w:val="28"/>
        </w:rPr>
        <w:t>20</w:t>
      </w:r>
      <w:r w:rsidR="004E35A0">
        <w:rPr>
          <w:rFonts w:ascii="Times New Roman" w:hAnsi="Times New Roman" w:cs="Times New Roman"/>
          <w:sz w:val="28"/>
          <w:szCs w:val="28"/>
        </w:rPr>
        <w:t>20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B112EE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85ECC"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Default="00A057B6" w:rsidP="00CE6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</w:t>
      </w:r>
      <w:r w:rsidR="00B1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b/>
          <w:bCs/>
          <w:sz w:val="28"/>
          <w:szCs w:val="28"/>
        </w:rPr>
        <w:t xml:space="preserve">Краснозоренского района </w:t>
      </w: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Pr="000008AC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0008AC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</w:rPr>
        <w:t>Краснозоренского района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FE4BDC" w:rsidRPr="000008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35A0" w:rsidRPr="000008AC">
        <w:rPr>
          <w:rFonts w:ascii="Times New Roman" w:hAnsi="Times New Roman" w:cs="Times New Roman"/>
          <w:sz w:val="28"/>
          <w:szCs w:val="28"/>
        </w:rPr>
        <w:t>администрация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35A0" w:rsidRPr="000008AC">
        <w:rPr>
          <w:rFonts w:ascii="Times New Roman" w:hAnsi="Times New Roman" w:cs="Times New Roman"/>
          <w:sz w:val="28"/>
          <w:szCs w:val="28"/>
        </w:rPr>
        <w:t xml:space="preserve"> </w:t>
      </w:r>
      <w:r w:rsidR="00FE4BDC" w:rsidRPr="000008AC">
        <w:rPr>
          <w:rFonts w:ascii="Times New Roman" w:hAnsi="Times New Roman" w:cs="Times New Roman"/>
          <w:sz w:val="28"/>
          <w:szCs w:val="28"/>
        </w:rPr>
        <w:t xml:space="preserve">) </w:t>
      </w:r>
      <w:r w:rsidRPr="000008AC">
        <w:rPr>
          <w:rFonts w:ascii="Times New Roman" w:hAnsi="Times New Roman" w:cs="Times New Roman"/>
          <w:b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4E35A0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35A0">
        <w:rPr>
          <w:rFonts w:ascii="Times New Roman" w:hAnsi="Times New Roman" w:cs="Times New Roman"/>
          <w:b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0008AC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</w:t>
      </w:r>
      <w:r w:rsidR="00690CE5" w:rsidRPr="00690CE5">
        <w:t xml:space="preserve"> </w:t>
      </w:r>
      <w:r w:rsidR="00690CE5" w:rsidRPr="00690C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0CE5" w:rsidRPr="00690CE5">
        <w:rPr>
          <w:rFonts w:ascii="Times New Roman" w:hAnsi="Times New Roman" w:cs="Times New Roman"/>
          <w:sz w:val="28"/>
          <w:szCs w:val="28"/>
        </w:rPr>
        <w:t>://</w:t>
      </w:r>
      <w:r w:rsidR="00690CE5" w:rsidRPr="00690C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7A64" w:rsidRP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BE7A6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E7A64" w:rsidRPr="00BE7A64">
        <w:rPr>
          <w:rFonts w:ascii="Times New Roman" w:hAnsi="Times New Roman" w:cs="Times New Roman"/>
          <w:sz w:val="28"/>
          <w:szCs w:val="28"/>
        </w:rPr>
        <w:t>-</w:t>
      </w:r>
      <w:r w:rsidR="00BE7A64">
        <w:rPr>
          <w:rFonts w:ascii="Times New Roman" w:hAnsi="Times New Roman" w:cs="Times New Roman"/>
          <w:sz w:val="28"/>
          <w:szCs w:val="28"/>
          <w:lang w:val="en-US"/>
        </w:rPr>
        <w:t>uspensk</w:t>
      </w:r>
      <w:r w:rsidR="00BE7A64" w:rsidRPr="00BE7A64">
        <w:rPr>
          <w:rFonts w:ascii="Times New Roman" w:hAnsi="Times New Roman" w:cs="Times New Roman"/>
          <w:sz w:val="28"/>
          <w:szCs w:val="28"/>
        </w:rPr>
        <w:t>.</w:t>
      </w:r>
      <w:r w:rsidR="00BE7A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A28AB">
        <w:rPr>
          <w:rFonts w:ascii="Times New Roman" w:hAnsi="Times New Roman" w:cs="Times New Roman"/>
          <w:sz w:val="28"/>
          <w:szCs w:val="28"/>
        </w:rPr>
        <w:t>.</w:t>
      </w:r>
    </w:p>
    <w:p w:rsidR="00685ECC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Статус сайта определен.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5. Действие настоящего Положения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CE65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>администрации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E7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EF06C0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2848" w:rsidRPr="00685ECC" w:rsidRDefault="00AD2848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свобода поиска, получения, передачи и распространения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.</w:t>
      </w:r>
    </w:p>
    <w:p w:rsidR="00AD2848" w:rsidRPr="00685ECC" w:rsidRDefault="00AD2848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D2848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</w:t>
      </w:r>
      <w:r w:rsidR="00CE65E9">
        <w:rPr>
          <w:rFonts w:ascii="Times New Roman" w:hAnsi="Times New Roman" w:cs="Times New Roman"/>
          <w:sz w:val="28"/>
          <w:szCs w:val="28"/>
        </w:rPr>
        <w:t>я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956521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956521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 w:rsidR="00CE65E9">
        <w:rPr>
          <w:rFonts w:ascii="Times New Roman" w:hAnsi="Times New Roman" w:cs="Times New Roman"/>
          <w:sz w:val="28"/>
          <w:szCs w:val="28"/>
        </w:rPr>
        <w:t xml:space="preserve">й </w:t>
      </w:r>
      <w:r w:rsidR="009565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  </w:t>
      </w:r>
      <w:r w:rsidR="00EF06C0" w:rsidRPr="00956521">
        <w:rPr>
          <w:rFonts w:ascii="Times New Roman" w:hAnsi="Times New Roman" w:cs="Times New Roman"/>
          <w:sz w:val="28"/>
          <w:szCs w:val="28"/>
        </w:rPr>
        <w:t xml:space="preserve"> </w:t>
      </w:r>
      <w:r w:rsidRPr="00956521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поселении 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</w:t>
      </w:r>
      <w:r w:rsidR="004E76CE" w:rsidRPr="004A3064">
        <w:rPr>
          <w:rFonts w:ascii="Times New Roman" w:hAnsi="Times New Roman" w:cs="Times New Roman"/>
          <w:sz w:val="28"/>
          <w:szCs w:val="28"/>
        </w:rPr>
        <w:lastRenderedPageBreak/>
        <w:t xml:space="preserve">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D2848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B43239">
        <w:rPr>
          <w:rFonts w:ascii="Times New Roman" w:hAnsi="Times New Roman" w:cs="Times New Roman"/>
          <w:sz w:val="28"/>
          <w:szCs w:val="28"/>
        </w:rPr>
        <w:t xml:space="preserve">ее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по организации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B43239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2DD9">
        <w:rPr>
          <w:rFonts w:ascii="Times New Roman" w:hAnsi="Times New Roman" w:cs="Times New Roman"/>
          <w:i/>
          <w:sz w:val="28"/>
          <w:szCs w:val="28"/>
        </w:rPr>
        <w:t>)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B43239">
        <w:rPr>
          <w:rFonts w:ascii="Times New Roman" w:hAnsi="Times New Roman" w:cs="Times New Roman"/>
          <w:sz w:val="28"/>
          <w:szCs w:val="28"/>
        </w:rPr>
        <w:t>adm-uspensk.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43239" w:rsidRPr="00B43239">
        <w:rPr>
          <w:rFonts w:ascii="Times New Roman" w:hAnsi="Times New Roman" w:cs="Times New Roman"/>
          <w:sz w:val="28"/>
          <w:szCs w:val="28"/>
        </w:rPr>
        <w:t>.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uspensk</w:t>
      </w:r>
      <w:r w:rsidR="00B43239" w:rsidRPr="00B43239">
        <w:rPr>
          <w:rFonts w:ascii="Times New Roman" w:hAnsi="Times New Roman" w:cs="Times New Roman"/>
          <w:sz w:val="28"/>
          <w:szCs w:val="28"/>
        </w:rPr>
        <w:t>@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3239" w:rsidRPr="00B43239">
        <w:rPr>
          <w:rFonts w:ascii="Times New Roman" w:hAnsi="Times New Roman" w:cs="Times New Roman"/>
          <w:sz w:val="28"/>
          <w:szCs w:val="28"/>
        </w:rPr>
        <w:t>.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43239" w:rsidRPr="00B4323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</w:t>
      </w:r>
      <w:r w:rsidR="00685ECC" w:rsidRPr="00EA28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25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EA28AB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EA28AB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 w:rsidRPr="00EA28AB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EA28AB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B4323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администрацией 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Pr="00C71EA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C71EAF">
        <w:rPr>
          <w:rFonts w:ascii="Times New Roman" w:hAnsi="Times New Roman" w:cs="Times New Roman"/>
          <w:sz w:val="28"/>
          <w:szCs w:val="28"/>
        </w:rPr>
        <w:t>2</w:t>
      </w:r>
      <w:r w:rsidR="002C6E4E" w:rsidRPr="00C71EAF">
        <w:rPr>
          <w:rFonts w:ascii="Times New Roman" w:hAnsi="Times New Roman" w:cs="Times New Roman"/>
          <w:sz w:val="28"/>
          <w:szCs w:val="28"/>
        </w:rPr>
        <w:t>)</w:t>
      </w:r>
      <w:r w:rsidRPr="00C71EA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C71EAF">
        <w:rPr>
          <w:rFonts w:ascii="Times New Roman" w:hAnsi="Times New Roman" w:cs="Times New Roman"/>
          <w:sz w:val="28"/>
          <w:szCs w:val="28"/>
        </w:rPr>
        <w:t>ч</w:t>
      </w:r>
      <w:r w:rsidRPr="00C71EAF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C71EAF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987269" w:rsidRDefault="00987269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</w:p>
    <w:p w:rsidR="00685ECC" w:rsidRDefault="00685ECC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65E9" w:rsidRPr="00685ECC" w:rsidRDefault="00CE65E9" w:rsidP="0098726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987269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5ECC" w:rsidRPr="00685ECC" w:rsidRDefault="00987269" w:rsidP="009872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987269">
        <w:rPr>
          <w:rFonts w:ascii="Times New Roman" w:hAnsi="Times New Roman" w:cs="Times New Roman"/>
          <w:sz w:val="28"/>
          <w:szCs w:val="28"/>
        </w:rPr>
        <w:t>администрацию 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987269" w:rsidRDefault="0098726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8726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опубликованной в средствах массовой информации либо </w:t>
      </w:r>
      <w:r w:rsidR="00732C06">
        <w:rPr>
          <w:rFonts w:ascii="Times New Roman" w:hAnsi="Times New Roman" w:cs="Times New Roman"/>
          <w:sz w:val="28"/>
          <w:szCs w:val="28"/>
        </w:rPr>
        <w:t>ра</w:t>
      </w:r>
      <w:r w:rsidR="00732C06" w:rsidRPr="00685ECC">
        <w:rPr>
          <w:rFonts w:ascii="Times New Roman" w:hAnsi="Times New Roman" w:cs="Times New Roman"/>
          <w:sz w:val="28"/>
          <w:szCs w:val="28"/>
        </w:rPr>
        <w:t>змещенной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987269">
        <w:rPr>
          <w:rFonts w:ascii="Times New Roman" w:hAnsi="Times New Roman" w:cs="Times New Roman"/>
          <w:sz w:val="28"/>
          <w:szCs w:val="28"/>
        </w:rPr>
        <w:t xml:space="preserve">  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</w:t>
      </w:r>
      <w:r w:rsidR="00732C06">
        <w:rPr>
          <w:rFonts w:ascii="Times New Roman" w:hAnsi="Times New Roman" w:cs="Times New Roman"/>
          <w:sz w:val="28"/>
          <w:szCs w:val="28"/>
        </w:rPr>
        <w:t xml:space="preserve">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685ECC" w:rsidRPr="00EA3318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EA3318">
        <w:rPr>
          <w:rFonts w:ascii="Times New Roman" w:hAnsi="Times New Roman" w:cs="Times New Roman"/>
          <w:sz w:val="28"/>
          <w:szCs w:val="28"/>
        </w:rPr>
        <w:t>а б</w:t>
      </w:r>
      <w:r w:rsidR="00685ECC" w:rsidRPr="00685ECC">
        <w:rPr>
          <w:rFonts w:ascii="Times New Roman" w:hAnsi="Times New Roman" w:cs="Times New Roman"/>
          <w:sz w:val="28"/>
          <w:szCs w:val="28"/>
        </w:rPr>
        <w:t>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732C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A33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EA28AB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lastRenderedPageBreak/>
        <w:t xml:space="preserve">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 xml:space="preserve">БИБЛИОТЕЧНЫХ </w:t>
      </w:r>
      <w:r w:rsidR="00812E63" w:rsidRPr="00EA28AB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EA28AB" w:rsidRDefault="00131CFF" w:rsidP="003354EA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bookmarkStart w:id="12" w:name="1021"/>
      <w:bookmarkEnd w:id="12"/>
    </w:p>
    <w:p w:rsidR="00131CFF" w:rsidRPr="00131CFF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сведениях о создании, реорганизации и ликвидации</w:t>
      </w:r>
      <w:r w:rsidR="00D67954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</w:t>
      </w:r>
      <w:r w:rsidR="00732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делегаций</w:t>
      </w:r>
      <w:r w:rsidR="00EA3318">
        <w:rPr>
          <w:rFonts w:ascii="Times New Roman" w:hAnsi="Times New Roman" w:cs="Times New Roman"/>
          <w:sz w:val="28"/>
          <w:szCs w:val="28"/>
        </w:rPr>
        <w:t xml:space="preserve">  администрации  сельского поселения 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331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находящейся в библиотечных фондах, осуществляется в муниципальных библиотеках</w:t>
      </w:r>
      <w:r w:rsidR="00732C06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346C9E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здании библиотеки, пользователь информацией может ознакомиться с перечнем ресурсов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1CFF" w:rsidRPr="00131CFF" w:rsidRDefault="00346C9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E4E"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специалист </w:t>
      </w:r>
      <w:r w:rsidR="00D6795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346C9E">
        <w:rPr>
          <w:rFonts w:ascii="Times New Roman" w:hAnsi="Times New Roman" w:cs="Times New Roman"/>
          <w:sz w:val="28"/>
          <w:szCs w:val="28"/>
        </w:rPr>
        <w:t>её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 ПОСЕЛЕНИЯ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346C9E"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56B3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6F3D93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A46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Успенского сельского поселения </w:t>
            </w:r>
          </w:p>
          <w:p w:rsidR="00C40AC7" w:rsidRPr="00C37DAC" w:rsidRDefault="004C66F5" w:rsidP="006F3D93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F3D93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F3D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>информации о деятельности</w:t>
      </w:r>
      <w:r w:rsidR="00CA4669">
        <w:t xml:space="preserve">  администрации Успенского сельского поселения</w:t>
      </w:r>
      <w:r>
        <w:t xml:space="preserve">, размещаемой на официальном сайте </w:t>
      </w:r>
      <w:r w:rsidR="00CA4669">
        <w:t xml:space="preserve"> администрации Успенского сельского поселения  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732C0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Ус</w:t>
            </w:r>
            <w:r w:rsidR="0073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пенского сельского поселения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сельского поселения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29554C" w:rsidRDefault="0029554C" w:rsidP="0029554C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нкциях </w:t>
            </w:r>
            <w:r w:rsidRPr="00CA4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0836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 а также при согласии указанных лиц иные сведения о них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Успенского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0836E0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Успенского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муниципальных 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6F3D93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Установленные формы обращений, заявлений и иных документов, принимаемых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Успенского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</w:t>
            </w:r>
            <w:r w:rsidRP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Успенского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6F3D93" w:rsidP="000836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поселения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 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Успенского сельского поселения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29554C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Поддерживается   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и результаты конкурсов на замещение вакантных должностей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словия конкурса размещаются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сельского 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6F3D93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bCs/>
                <w:sz w:val="24"/>
                <w:szCs w:val="24"/>
              </w:rPr>
              <w:t>V. Информация о работе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Успенского сельского поселения</w:t>
            </w:r>
            <w:r w:rsidR="004C72A2" w:rsidRPr="006F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3D93">
              <w:rPr>
                <w:rFonts w:ascii="Times New Roman" w:hAnsi="Times New Roman" w:cs="Times New Roman"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6F3D93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>администрации Успенского сельского поселения</w:t>
            </w:r>
            <w:r w:rsidR="009513C0" w:rsidRPr="006F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рассмотрения их обращений; </w:t>
            </w:r>
          </w:p>
          <w:p w:rsidR="008811E2" w:rsidRPr="006F3D93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6F3D93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6F3D93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174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C1740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C1740A" w:rsidRDefault="00C1740A" w:rsidP="00C174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</w:tbl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490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56B3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C72872" w:rsidRPr="00C37DAC" w:rsidRDefault="00C72872" w:rsidP="003E4B65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33A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Успенского сельского поселения </w:t>
            </w:r>
          </w:p>
          <w:p w:rsidR="004A3064" w:rsidRPr="004C7040" w:rsidRDefault="00C72872" w:rsidP="00333AFC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3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333AFC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</w:t>
      </w:r>
      <w:r w:rsidRPr="00333AFC">
        <w:rPr>
          <w:rFonts w:ascii="Times New Roman" w:hAnsi="Times New Roman" w:cs="Times New Roman"/>
          <w:b/>
          <w:sz w:val="28"/>
          <w:szCs w:val="28"/>
        </w:rPr>
        <w:t xml:space="preserve">сайтом 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администрации Успенского сельского поселения </w:t>
      </w:r>
    </w:p>
    <w:p w:rsidR="00F77DC6" w:rsidRPr="00333AFC" w:rsidRDefault="00F77DC6" w:rsidP="00372F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</w:t>
      </w:r>
      <w:r w:rsidR="00333AFC" w:rsidRP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333AFC" w:rsidRPr="003356B3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 и</w:t>
      </w:r>
      <w:r w:rsid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174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6B3" w:rsidRPr="00335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5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По решению руководителя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="003356B3" w:rsidRPr="003356B3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38A0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9D" w:rsidRDefault="008E789D" w:rsidP="00DB5657">
      <w:r>
        <w:separator/>
      </w:r>
    </w:p>
  </w:endnote>
  <w:endnote w:type="continuationSeparator" w:id="1">
    <w:p w:rsidR="008E789D" w:rsidRDefault="008E789D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9D" w:rsidRDefault="008E789D" w:rsidP="00DB5657">
      <w:r>
        <w:separator/>
      </w:r>
    </w:p>
  </w:footnote>
  <w:footnote w:type="continuationSeparator" w:id="1">
    <w:p w:rsidR="008E789D" w:rsidRDefault="008E789D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2B68F7"/>
    <w:multiLevelType w:val="hybridMultilevel"/>
    <w:tmpl w:val="AFA4B28E"/>
    <w:lvl w:ilvl="0" w:tplc="FA3C6CF6">
      <w:start w:val="1"/>
      <w:numFmt w:val="decimal"/>
      <w:lvlText w:val="%1."/>
      <w:lvlJc w:val="left"/>
      <w:pPr>
        <w:ind w:left="198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08AC"/>
    <w:rsid w:val="00003EA1"/>
    <w:rsid w:val="00017A55"/>
    <w:rsid w:val="00024F4C"/>
    <w:rsid w:val="00046451"/>
    <w:rsid w:val="0005472D"/>
    <w:rsid w:val="00063DEC"/>
    <w:rsid w:val="000673DD"/>
    <w:rsid w:val="0007235F"/>
    <w:rsid w:val="000836E0"/>
    <w:rsid w:val="00090A4A"/>
    <w:rsid w:val="00095DA8"/>
    <w:rsid w:val="0009605B"/>
    <w:rsid w:val="000A025C"/>
    <w:rsid w:val="000B24FC"/>
    <w:rsid w:val="000B4A82"/>
    <w:rsid w:val="000C29CA"/>
    <w:rsid w:val="000C4DCC"/>
    <w:rsid w:val="000F00E7"/>
    <w:rsid w:val="000F2019"/>
    <w:rsid w:val="00102E72"/>
    <w:rsid w:val="00121B0E"/>
    <w:rsid w:val="00125F65"/>
    <w:rsid w:val="00131151"/>
    <w:rsid w:val="00131CFF"/>
    <w:rsid w:val="00141CEA"/>
    <w:rsid w:val="00161F54"/>
    <w:rsid w:val="00180018"/>
    <w:rsid w:val="001908BE"/>
    <w:rsid w:val="001A0835"/>
    <w:rsid w:val="001A1031"/>
    <w:rsid w:val="001B0000"/>
    <w:rsid w:val="001C0151"/>
    <w:rsid w:val="001C11A3"/>
    <w:rsid w:val="001C13B6"/>
    <w:rsid w:val="001C787D"/>
    <w:rsid w:val="001D5D61"/>
    <w:rsid w:val="001F51AA"/>
    <w:rsid w:val="001F71F5"/>
    <w:rsid w:val="00200D29"/>
    <w:rsid w:val="00205473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39D4"/>
    <w:rsid w:val="0029554C"/>
    <w:rsid w:val="00297309"/>
    <w:rsid w:val="002B6F1B"/>
    <w:rsid w:val="002C11D0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3AFC"/>
    <w:rsid w:val="003354EA"/>
    <w:rsid w:val="003356B3"/>
    <w:rsid w:val="00346C9E"/>
    <w:rsid w:val="00354CF8"/>
    <w:rsid w:val="00372FD5"/>
    <w:rsid w:val="003B403C"/>
    <w:rsid w:val="003C151E"/>
    <w:rsid w:val="003C6925"/>
    <w:rsid w:val="003E4B65"/>
    <w:rsid w:val="00405DFA"/>
    <w:rsid w:val="0042238B"/>
    <w:rsid w:val="0043303E"/>
    <w:rsid w:val="00435071"/>
    <w:rsid w:val="004362DD"/>
    <w:rsid w:val="0046475E"/>
    <w:rsid w:val="004722D0"/>
    <w:rsid w:val="0047462B"/>
    <w:rsid w:val="004924FA"/>
    <w:rsid w:val="0049397D"/>
    <w:rsid w:val="004A3064"/>
    <w:rsid w:val="004B02C4"/>
    <w:rsid w:val="004B716E"/>
    <w:rsid w:val="004B7FB9"/>
    <w:rsid w:val="004C0BA1"/>
    <w:rsid w:val="004C66F5"/>
    <w:rsid w:val="004C7040"/>
    <w:rsid w:val="004C72A2"/>
    <w:rsid w:val="004D0B55"/>
    <w:rsid w:val="004E08D6"/>
    <w:rsid w:val="004E35A0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06B5"/>
    <w:rsid w:val="005B4E68"/>
    <w:rsid w:val="005C13DF"/>
    <w:rsid w:val="005D0B1E"/>
    <w:rsid w:val="005D2F8B"/>
    <w:rsid w:val="005E5EF7"/>
    <w:rsid w:val="005F157E"/>
    <w:rsid w:val="005F38A9"/>
    <w:rsid w:val="00601905"/>
    <w:rsid w:val="006422B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4CCA"/>
    <w:rsid w:val="00685ECC"/>
    <w:rsid w:val="00690CE5"/>
    <w:rsid w:val="006932B6"/>
    <w:rsid w:val="006969BA"/>
    <w:rsid w:val="006B0726"/>
    <w:rsid w:val="006B295F"/>
    <w:rsid w:val="006C0EB6"/>
    <w:rsid w:val="006E752B"/>
    <w:rsid w:val="006E7678"/>
    <w:rsid w:val="006F3D93"/>
    <w:rsid w:val="006F6BD0"/>
    <w:rsid w:val="00702655"/>
    <w:rsid w:val="00710F1E"/>
    <w:rsid w:val="007110D7"/>
    <w:rsid w:val="00720FFF"/>
    <w:rsid w:val="0072404C"/>
    <w:rsid w:val="00731DE9"/>
    <w:rsid w:val="00732C06"/>
    <w:rsid w:val="007556FC"/>
    <w:rsid w:val="00757550"/>
    <w:rsid w:val="00767B26"/>
    <w:rsid w:val="007704C1"/>
    <w:rsid w:val="00784225"/>
    <w:rsid w:val="007859D2"/>
    <w:rsid w:val="007861CF"/>
    <w:rsid w:val="007A404C"/>
    <w:rsid w:val="007B6FD8"/>
    <w:rsid w:val="007C09E5"/>
    <w:rsid w:val="007C50C0"/>
    <w:rsid w:val="007E02F8"/>
    <w:rsid w:val="007F1932"/>
    <w:rsid w:val="00801B6E"/>
    <w:rsid w:val="008069FB"/>
    <w:rsid w:val="00812E63"/>
    <w:rsid w:val="00817F70"/>
    <w:rsid w:val="00821970"/>
    <w:rsid w:val="00844ECE"/>
    <w:rsid w:val="008454B9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E789D"/>
    <w:rsid w:val="008F20DA"/>
    <w:rsid w:val="008F41DC"/>
    <w:rsid w:val="00931124"/>
    <w:rsid w:val="00944839"/>
    <w:rsid w:val="00944938"/>
    <w:rsid w:val="0094570C"/>
    <w:rsid w:val="009513C0"/>
    <w:rsid w:val="00956521"/>
    <w:rsid w:val="009637D3"/>
    <w:rsid w:val="00964FB8"/>
    <w:rsid w:val="0096708D"/>
    <w:rsid w:val="0097185A"/>
    <w:rsid w:val="0097207B"/>
    <w:rsid w:val="00987269"/>
    <w:rsid w:val="00997651"/>
    <w:rsid w:val="009A3164"/>
    <w:rsid w:val="009A4CE7"/>
    <w:rsid w:val="009B6168"/>
    <w:rsid w:val="009B7A05"/>
    <w:rsid w:val="009C0FB9"/>
    <w:rsid w:val="009C545D"/>
    <w:rsid w:val="009C6DBD"/>
    <w:rsid w:val="009D1CC1"/>
    <w:rsid w:val="009D7349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4634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2848"/>
    <w:rsid w:val="00AD3B53"/>
    <w:rsid w:val="00AD7375"/>
    <w:rsid w:val="00AE1749"/>
    <w:rsid w:val="00AE50A3"/>
    <w:rsid w:val="00AF0D40"/>
    <w:rsid w:val="00B04E8F"/>
    <w:rsid w:val="00B059AA"/>
    <w:rsid w:val="00B0788C"/>
    <w:rsid w:val="00B112EE"/>
    <w:rsid w:val="00B22DD9"/>
    <w:rsid w:val="00B31CAD"/>
    <w:rsid w:val="00B43239"/>
    <w:rsid w:val="00B55C21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BE7A64"/>
    <w:rsid w:val="00C03CBD"/>
    <w:rsid w:val="00C12E14"/>
    <w:rsid w:val="00C1740A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1EAF"/>
    <w:rsid w:val="00C72872"/>
    <w:rsid w:val="00C74B9D"/>
    <w:rsid w:val="00C814E8"/>
    <w:rsid w:val="00C86946"/>
    <w:rsid w:val="00C9529A"/>
    <w:rsid w:val="00C96D9B"/>
    <w:rsid w:val="00CA4669"/>
    <w:rsid w:val="00CC7196"/>
    <w:rsid w:val="00CE17E4"/>
    <w:rsid w:val="00CE65E9"/>
    <w:rsid w:val="00CE6BE2"/>
    <w:rsid w:val="00D04EB9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36498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28AB"/>
    <w:rsid w:val="00EA3318"/>
    <w:rsid w:val="00EA4768"/>
    <w:rsid w:val="00EC4B99"/>
    <w:rsid w:val="00EE3AA1"/>
    <w:rsid w:val="00EF06C0"/>
    <w:rsid w:val="00EF290C"/>
    <w:rsid w:val="00EF3A50"/>
    <w:rsid w:val="00F01BB5"/>
    <w:rsid w:val="00F032DD"/>
    <w:rsid w:val="00F06042"/>
    <w:rsid w:val="00F069E6"/>
    <w:rsid w:val="00F11012"/>
    <w:rsid w:val="00F21332"/>
    <w:rsid w:val="00F31179"/>
    <w:rsid w:val="00F326FE"/>
    <w:rsid w:val="00F33A56"/>
    <w:rsid w:val="00F36C14"/>
    <w:rsid w:val="00F41A2B"/>
    <w:rsid w:val="00F54307"/>
    <w:rsid w:val="00F6487F"/>
    <w:rsid w:val="00F77DC6"/>
    <w:rsid w:val="00F84240"/>
    <w:rsid w:val="00F9308A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2C11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E22-9918-4C9F-9E78-65D40485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7552</Words>
  <Characters>43052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50503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Успенское СП</cp:lastModifiedBy>
  <cp:revision>43</cp:revision>
  <cp:lastPrinted>2020-07-03T08:43:00Z</cp:lastPrinted>
  <dcterms:created xsi:type="dcterms:W3CDTF">2018-07-17T02:25:00Z</dcterms:created>
  <dcterms:modified xsi:type="dcterms:W3CDTF">2020-07-03T08:52:00Z</dcterms:modified>
</cp:coreProperties>
</file>