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ЗАБОРСКОГО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ТАРНОГСКОГО МУНИЦИПАЛЬНОГО РАЙОНА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right="36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Cs/>
          <w:sz w:val="28"/>
          <w:szCs w:val="28"/>
        </w:rPr>
        <w:t>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>
        <w:rPr>
          <w:bCs/>
          <w:sz w:val="28"/>
          <w:szCs w:val="28"/>
        </w:rPr>
        <w:t>Заборского</w:t>
      </w:r>
      <w:r>
        <w:rPr>
          <w:bCs/>
          <w:sz w:val="28"/>
          <w:szCs w:val="28"/>
        </w:rPr>
        <w:t xml:space="preserve">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1. Утвердить административный регламент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rFonts w:cs="Times New Roman" w:ascii="Times New Roman" w:hAnsi="Times New Roman"/>
          <w:b w:val="false"/>
          <w:sz w:val="28"/>
          <w:szCs w:val="28"/>
        </w:rPr>
        <w:t>, согласно приложению 1.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поселения:</w:t>
      </w:r>
    </w:p>
    <w:p>
      <w:pPr>
        <w:pStyle w:val="Normal"/>
        <w:tabs>
          <w:tab w:val="left" w:pos="0" w:leader="none"/>
          <w:tab w:val="left" w:pos="9354" w:leader="none"/>
        </w:tabs>
        <w:ind w:right="-2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>14.11.2016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«Об утверждении административного регламента </w:t>
      </w:r>
      <w:r>
        <w:rPr>
          <w:bCs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>
        <w:rPr>
          <w:sz w:val="28"/>
          <w:szCs w:val="28"/>
        </w:rPr>
        <w:t>»;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>01.03.2017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sz w:val="28"/>
          <w:szCs w:val="28"/>
        </w:rPr>
        <w:t xml:space="preserve">14.11.2016 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127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>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/>
      </w:pPr>
      <w:r>
        <w:rPr>
          <w:sz w:val="28"/>
          <w:szCs w:val="28"/>
        </w:rPr>
        <w:t xml:space="preserve">Глава поселения                                                                  </w:t>
      </w:r>
      <w:r>
        <w:rPr>
          <w:sz w:val="28"/>
          <w:szCs w:val="28"/>
        </w:rPr>
        <w:t>М.А. Токарева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2"/>
          <w:rFonts w:ascii="Times New Roman" w:hAnsi="Times New Roman"/>
          <w:b w:val="false"/>
          <w:color w:val="00000A"/>
          <w:sz w:val="28"/>
          <w:szCs w:val="28"/>
        </w:rPr>
        <w:t>Утвержден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2"/>
          <w:rFonts w:ascii="Times New Roman" w:hAnsi="Times New Roman"/>
          <w:b w:val="false"/>
          <w:color w:val="00000A"/>
          <w:sz w:val="28"/>
          <w:szCs w:val="28"/>
        </w:rPr>
        <w:t xml:space="preserve">постановлением администрации 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2"/>
          <w:rFonts w:ascii="Times New Roman" w:hAnsi="Times New Roman"/>
          <w:b w:val="false"/>
          <w:color w:val="00000A"/>
          <w:sz w:val="28"/>
          <w:szCs w:val="28"/>
        </w:rPr>
        <w:t>поселения от _____ № ____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2"/>
          <w:rFonts w:ascii="Times New Roman" w:hAnsi="Times New Roman"/>
          <w:b w:val="false"/>
          <w:b w:val="false"/>
          <w:bCs w:val="false"/>
          <w:color w:val="00000A"/>
          <w:sz w:val="28"/>
          <w:szCs w:val="28"/>
        </w:rPr>
      </w:pPr>
      <w:r>
        <w:rPr>
          <w:rStyle w:val="32"/>
          <w:rFonts w:ascii="Times New Roman" w:hAnsi="Times New Roman"/>
          <w:b w:val="false"/>
          <w:color w:val="00000A"/>
          <w:sz w:val="28"/>
          <w:szCs w:val="28"/>
        </w:rPr>
        <w:t>(приложение 1)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(или) крупногабаритных транспортных средств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1.3. Место нахождения администрации Заборского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 Вологодская область, Тарногский район,   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Почтовый адрес Уполномоченного органа: 161572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9.00-17.00 часов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</w:tbl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приема документов: понедельник-пятница с 09.00-16.00 часов, перерыв на обед с 12.00-13.00 часов</w:t>
      </w:r>
    </w:p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личного приема руководителя Уполномоченного органа: вторник, четверг с 10.00-12.00 часов.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8(81748)3-11-62, 3-11-66.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- сайт в сети «Интернет»): </w:t>
      </w:r>
      <w:bookmarkStart w:id="0" w:name="__DdeLink__5911_2403435063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zaborskoe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  <w:lang w:val="en-US"/>
        </w:rPr>
        <w:t>ru</w:t>
      </w:r>
    </w:p>
    <w:p>
      <w:pPr>
        <w:pStyle w:val="Normal"/>
        <w:numPr>
          <w:ilvl w:val="0"/>
          <w:numId w:val="0"/>
        </w:numPr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 в сети «Интернет»: www.gosuslugi.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Normal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«Интернет»: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://gosuslugi35.ru.</w:t>
      </w:r>
    </w:p>
    <w:p>
      <w:pPr>
        <w:pStyle w:val="Normal"/>
        <w:suppressAutoHyphens w:val="true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09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A5c8b0e714da563fe90b98cef41456e9db9fe9049761426654245bb2dd862eecmsonormal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tabs>
          <w:tab w:val="left" w:pos="0" w:leader="none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2.1.</w:t>
        <w:tab/>
        <w:t>Наименование муниципальной услуги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 на движение по автомобильным дорогам тяжеловесных и (или) крупногабаритных транспортных средств.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Cs/>
        </w:rPr>
      </w:pPr>
      <w:r>
        <w:rPr>
          <w:iCs/>
        </w:rPr>
        <w:t>предоставляющего муниципальную услугу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</w:t>
        <w:tab/>
        <w:t>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выдача специального разрешения;</w:t>
      </w:r>
    </w:p>
    <w:p>
      <w:pPr>
        <w:pStyle w:val="BodyText2"/>
        <w:spacing w:lineRule="auto" w:line="240" w:before="0" w:after="0"/>
        <w:ind w:right="-5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отказ в выдаче специального разрешения.</w:t>
      </w:r>
    </w:p>
    <w:p>
      <w:pPr>
        <w:pStyle w:val="BodyText2"/>
        <w:spacing w:lineRule="auto" w:line="240" w:before="0" w:after="0"/>
        <w:ind w:right="-5" w:firstLine="540"/>
        <w:jc w:val="both"/>
        <w:rPr>
          <w:bCs/>
          <w:iCs/>
          <w:sz w:val="28"/>
          <w:szCs w:val="28"/>
        </w:rPr>
      </w:pPr>
      <w:bookmarkStart w:id="1" w:name="_Toc294183574"/>
      <w:bookmarkStart w:id="2" w:name="_Toc294183574"/>
      <w:bookmarkEnd w:id="2"/>
      <w:r>
        <w:rPr>
          <w:bCs/>
          <w:iCs/>
          <w:sz w:val="28"/>
          <w:szCs w:val="28"/>
        </w:rPr>
      </w:r>
    </w:p>
    <w:p>
      <w:pPr>
        <w:pStyle w:val="4"/>
        <w:spacing w:before="0" w:after="0"/>
        <w:ind w:firstLine="540"/>
        <w:rPr>
          <w:iCs/>
        </w:rPr>
      </w:pPr>
      <w:r>
        <w:rPr>
          <w:iCs/>
        </w:rPr>
        <w:t>2.4. Срок предоставления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выдаче специального разрешения или об отказе в его выдаче выдается: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 </w:t>
      </w:r>
      <w:r>
        <w:rPr>
          <w:rFonts w:cs="Times New Roman" w:ascii="Times New Roman" w:hAnsi="Times New Roman"/>
          <w:iCs/>
          <w:sz w:val="28"/>
          <w:szCs w:val="28"/>
        </w:rPr>
        <w:t>и при наличии соответствующих согласований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 посредством МФЦ, срок выдачи специального разрешения увеличивается на срок доставки документов из МФЦ в Уполномоченный орган. Сроки доставки определяются соглашением между МФЦ и Уполномоченным органом.</w:t>
      </w:r>
    </w:p>
    <w:p>
      <w:pPr>
        <w:pStyle w:val="Normal"/>
        <w:ind w:firstLine="540"/>
        <w:rPr>
          <w:sz w:val="28"/>
          <w:szCs w:val="28"/>
        </w:rPr>
      </w:pPr>
      <w:bookmarkStart w:id="3" w:name="_Toc294183575"/>
      <w:bookmarkStart w:id="4" w:name="_Toc294183575"/>
      <w:bookmarkEnd w:id="4"/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Предоставление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осуществляется в соответствии с:</w:t>
      </w:r>
    </w:p>
    <w:p>
      <w:pPr>
        <w:pStyle w:val="Style25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Style25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>
      <w:pPr>
        <w:pStyle w:val="Style25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>
      <w:pPr>
        <w:pStyle w:val="Style25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>
      <w:pPr>
        <w:pStyle w:val="Style25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>
      <w:pPr>
        <w:pStyle w:val="Style25"/>
        <w:spacing w:before="0"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ind w:firstLine="54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представляет (направляет):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согласно приложению 3 к настоящему административному регламенту.</w:t>
      </w:r>
    </w:p>
    <w:p>
      <w:pPr>
        <w:pStyle w:val="Normal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>
      <w:pPr>
        <w:pStyle w:val="ConsPlusNormal1"/>
        <w:ind w:firstLine="709"/>
        <w:jc w:val="both"/>
        <w:rPr/>
      </w:pPr>
      <w:hyperlink w:anchor="Par419">
        <w:r>
          <w:rPr>
            <w:rStyle w:val="Style11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заполнении </w:t>
      </w:r>
      <w:hyperlink w:anchor="Par419">
        <w:r>
          <w:rPr>
            <w:rStyle w:val="Style11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63">
        <w:r>
          <w:rPr>
            <w:rStyle w:val="Style11"/>
            <w:sz w:val="28"/>
            <w:szCs w:val="28"/>
          </w:rPr>
          <w:t>приложению 4</w:t>
        </w:r>
      </w:hyperlink>
      <w:r>
        <w:rPr>
          <w:sz w:val="28"/>
          <w:szCs w:val="28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>
      <w:pPr>
        <w:pStyle w:val="Normal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документ, подтверждающий полномочия представителя заявителя, в случае подачи заявления представителем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осуществления перевозки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 пункта представляет в Уполномоченный орган: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документов, подтверждающих оплату платежей за возмещение вреда, причиняемого автомобильным дорогам транспортным средством, осуществляющим перевозку тяжеловесного груза.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540"/>
        <w:jc w:val="center"/>
        <w:outlineLvl w:val="1"/>
        <w:rPr>
          <w:sz w:val="28"/>
          <w:szCs w:val="28"/>
        </w:rPr>
      </w:pPr>
      <w:r>
        <w:rPr>
          <w:rStyle w:val="Style14"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>
      <w:pPr>
        <w:pStyle w:val="ConsPlusNormal1"/>
        <w:widowControl/>
        <w:ind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Уполномоченный орган: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факт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платежного документа, подтверждающего уплату </w:t>
      </w:r>
      <w:r>
        <w:rPr>
          <w:bCs/>
          <w:i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пошлины за выдачу специального разрешения.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Документы, указанные в пункте 2.7.1. настоящего административного регламента, могут быть представлены следующими способами: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540"/>
        <w:jc w:val="center"/>
        <w:outlineLvl w:val="1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">
        <w:r>
          <w:rPr>
            <w:rStyle w:val="Style11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 для отказа в выдаче специального разрешения: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прав в выдаче специального разрешения по заявленному маршруту;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установленные требования о перевозке делимого груза не соблюдены;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отсутствие согласия заявителя на: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технического состояния автомобильной дороги;</w:t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</w:tabs>
        <w:suppressAutoHyphens w:val="tru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pStyle w:val="ConsPlusNormal1"/>
        <w:widowControl/>
        <w:numPr>
          <w:ilvl w:val="0"/>
          <w:numId w:val="1"/>
        </w:numPr>
        <w:tabs>
          <w:tab w:val="left" w:pos="1134" w:leader="none"/>
          <w:tab w:val="left" w:pos="1418" w:leader="none"/>
        </w:tabs>
        <w:suppressAutoHyphens w:val="tru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pStyle w:val="ConsPlusNormal1"/>
        <w:tabs>
          <w:tab w:val="left" w:pos="1134" w:leader="none"/>
          <w:tab w:val="left" w:pos="127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в регистрации заявления в случае если: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не содержит сведений, указанных в приложении 3 к настоящему административному регламенту;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не приложены документы, соответствующие требованиям пункта 2.6.1., абзацев первого и второго пункта 2.6.2. настоящего административного регламента.</w:t>
      </w:r>
    </w:p>
    <w:p>
      <w:pPr>
        <w:pStyle w:val="Style2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>
      <w:pPr>
        <w:pStyle w:val="Style2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2.11. Размер платы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>
      <w:pPr>
        <w:pStyle w:val="4"/>
        <w:spacing w:before="0" w:after="0"/>
        <w:ind w:firstLine="709"/>
        <w:jc w:val="both"/>
        <w:rPr>
          <w:i/>
          <w:i/>
          <w:iCs/>
        </w:rPr>
      </w:pPr>
      <w:r>
        <w:rPr/>
      </w:r>
    </w:p>
    <w:p>
      <w:pPr>
        <w:pStyle w:val="4"/>
        <w:spacing w:before="0" w:after="0"/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2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Style2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2.13. Срок регистрации запроса заявителя о предоставлении</w:t>
      </w:r>
    </w:p>
    <w:p>
      <w:pPr>
        <w:pStyle w:val="4"/>
        <w:spacing w:before="0" w:after="0"/>
        <w:rPr>
          <w:iCs/>
        </w:rPr>
      </w:pPr>
      <w:r>
        <w:rPr>
          <w:iCs/>
        </w:rPr>
        <w:t>муниципальной услуги, в том числе в электронной форме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В случае если заявитель направил заявление о предоставлении муниципальной услуги в форме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ind w:firstLine="540"/>
        <w:rPr>
          <w:iCs/>
        </w:rPr>
      </w:pPr>
      <w:r>
        <w:rPr>
          <w:iCs/>
        </w:rPr>
        <w:t>2.14.</w:t>
        <w:tab/>
        <w:t>Требования к помещениям, в которых предоставляется</w:t>
      </w:r>
    </w:p>
    <w:p>
      <w:pPr>
        <w:pStyle w:val="ConsPlusNormal1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муниципальная услуга </w:t>
      </w:r>
      <w:r>
        <w:rPr>
          <w:rFonts w:cs="Times New Roman" w:ascii="Times New Roman" w:hAnsi="Times New Roman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4"/>
        <w:spacing w:before="0" w:after="0"/>
        <w:ind w:firstLine="54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" w:name="_Toc294183582"/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4"/>
        <w:spacing w:before="0" w:after="0"/>
        <w:rPr>
          <w:iCs/>
        </w:rPr>
      </w:pPr>
      <w:bookmarkStart w:id="6" w:name="_Toc294183582"/>
      <w:bookmarkEnd w:id="6"/>
      <w:r>
        <w:rPr>
          <w:iCs/>
        </w:rPr>
        <w:t>2.15. Показатели доступности и качества муниципальной услуги</w:t>
      </w:r>
    </w:p>
    <w:p>
      <w:pPr>
        <w:pStyle w:val="BodyText2"/>
        <w:spacing w:lineRule="auto" w:line="240" w:before="0" w:after="0"/>
        <w:ind w:firstLine="54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4"/>
        <w:spacing w:before="0" w:after="0"/>
        <w:ind w:firstLine="540"/>
        <w:rPr>
          <w:i/>
          <w:i/>
        </w:rPr>
      </w:pPr>
      <w:r>
        <w:rPr>
          <w:i/>
        </w:rPr>
      </w:r>
    </w:p>
    <w:p>
      <w:pPr>
        <w:pStyle w:val="4"/>
        <w:spacing w:before="0" w:after="0"/>
        <w:ind w:firstLine="540"/>
        <w:rPr>
          <w:iCs/>
        </w:rPr>
      </w:pPr>
      <w:r>
        <w:rPr/>
        <w:t>2</w:t>
      </w:r>
      <w:r>
        <w:rPr>
          <w:iCs/>
        </w:rPr>
        <w:t>.16. Перечень классов средств электронной подписи, которые</w:t>
      </w:r>
    </w:p>
    <w:p>
      <w:pPr>
        <w:pStyle w:val="4"/>
        <w:spacing w:before="0" w:after="0"/>
        <w:ind w:firstLine="540"/>
        <w:rPr>
          <w:iCs/>
        </w:rPr>
      </w:pPr>
      <w:r>
        <w:rPr>
          <w:iCs/>
        </w:rPr>
        <w:t>допускаются к использованию при обращении за получением</w:t>
      </w:r>
    </w:p>
    <w:p>
      <w:pPr>
        <w:pStyle w:val="4"/>
        <w:spacing w:before="0" w:after="0"/>
        <w:ind w:firstLine="540"/>
        <w:rPr>
          <w:iCs/>
        </w:rPr>
      </w:pPr>
      <w:r>
        <w:rPr>
          <w:bCs/>
          <w:iCs/>
        </w:rPr>
        <w:t>муниципаль</w:t>
      </w:r>
      <w:r>
        <w:rPr>
          <w:iCs/>
        </w:rPr>
        <w:t>ной услуги, оказываемой с применением</w:t>
      </w:r>
    </w:p>
    <w:p>
      <w:pPr>
        <w:pStyle w:val="4"/>
        <w:spacing w:before="0" w:after="0"/>
        <w:ind w:firstLine="540"/>
        <w:rPr>
          <w:iCs/>
        </w:rPr>
      </w:pPr>
      <w:r>
        <w:rPr>
          <w:iCs/>
        </w:rPr>
        <w:t>усиленной квалифицированной электронной подписи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3">
        <w:r>
          <w:rPr>
            <w:rStyle w:val="Style11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tabs>
          <w:tab w:val="left" w:pos="864" w:leader="none"/>
        </w:tabs>
        <w:suppressAutoHyphens w:val="true"/>
        <w:ind w:left="54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BodyText2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и прилагаемых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прилагаемых документов;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маршрута;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подготовленных документов заявителю.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Прием и регистрация заявления и прилагаемых документов</w:t>
      </w:r>
    </w:p>
    <w:p>
      <w:pPr>
        <w:pStyle w:val="ConsPlusNormal1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(в том числе поступивших из МФЦ) в соответствии с пунктом 2.6.1. настоящего административного регламента.</w:t>
      </w:r>
    </w:p>
    <w:p>
      <w:pPr>
        <w:pStyle w:val="ConsPlusNormal1"/>
        <w:widowControl/>
        <w:tabs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1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Рассмотрение заявления и прилагаемых документов 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3.4.2. В случае поступления </w:t>
      </w:r>
      <w:hyperlink w:anchor="Par428">
        <w:r>
          <w:rPr>
            <w:rStyle w:val="Style11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3.4.4. В случае поступления </w:t>
      </w:r>
      <w:hyperlink w:anchor="Par428">
        <w:r>
          <w:rPr>
            <w:rStyle w:val="Style11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3 рабочих дней со дня регистрации заявления и прилагаемых документов: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заявление на наличие оснований для отказа в выдаче специального разрешения, предусмотренных пунктом 2.9.2. настоящего административного регламента;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указанных в пункте 2.9.2. настоящего административного регламента готовит проект письма, содержащий мотивированный отказ в выдаче специального разрешения и направляет его руководителю Уполномоченного органа для подписания;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оснований, указанных в пункте 2.9.2. настоящего административного регламента готовит проект сопроводительного письма о принятии решения о выдаче специального разрешения и направляет его руководителю Уполномоченного органа для подписания.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3.4.5. Руководитель Уполномоченного органа в течение одного дня со дня поступления документов, предусмотренных пунктом 3.4.4. настоящего административного регламента, подписывает проект письма о принятии решения о выдаче специального разрешения либо проект письма, содержащего мотивированный отказ в выдаче специального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о принятии решения о выдаче специального разрешения, либо содержащего мотивированный отказ в выдаче специального разрешения.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предусмотренные абзацем первым пункта 3.4.6. настоящего административного регламента, направляются способом, позволяющим подтвердить факт и дату получения.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3.4.7. Максимальный срок выполнения административной процедуры составляет 4 рабочих дня со дня регистрации заявления и прилагаемых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3.4.8. 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(МЭК), направляемых на проведение съемок и трансляций, рассматриваются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3.4.9. Критерием принятия решения в рамках выполнения административной процедуры является: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у Уполномоченного органа права в выдаче специального разрешения по заявленному маршруту;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установленные требования о перевозке делимого груза соблюдены.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3.4.10. Результатом выполнения административной процедуры является: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заявления и представленных документов на отсутствие оснований для отказа в выдаче специального разрешения, предусмотренных подпунктами «а» - «в» пункта 2.9.2. настоящего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об отказе в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выдаче специального разрешения.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Согласование маршрута </w:t>
      </w:r>
    </w:p>
    <w:p>
      <w:pPr>
        <w:pStyle w:val="ConsPlusNormal1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3.5.1. Юридическим фактом, являющимся основанием для начала исполнения административной процедуры, является отсутствие оснований для отказа в выдаче специального разрешения, предусмотренных подпунктами «а» - «в» пункта 2.9. настоящего административного регламента.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  <w:t>3.5.2. Должностное лицо, ответственное за предоставление муниципальной услуги, в течение четырех рабочих дней со дня регистрации заявления проверяет: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полномочий на выдачу специального разрешения по заявленному маршруту;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соблюдение требований о перевозке делимого груза;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путь следования по заявленному маршруту;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определяет владельцев автомобильных дорог по пути следования заявленного маршрута;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3.5.3. Запрос, указанный в </w:t>
      </w:r>
      <w:hyperlink r:id="rId4">
        <w:r>
          <w:rPr>
            <w:rStyle w:val="Style11"/>
            <w:color w:val="0000FF"/>
            <w:sz w:val="28"/>
            <w:szCs w:val="28"/>
          </w:rPr>
          <w:t xml:space="preserve">подпункте 7 пункта </w:t>
        </w:r>
      </w:hyperlink>
      <w:r>
        <w:rPr>
          <w:sz w:val="28"/>
          <w:szCs w:val="28"/>
        </w:rPr>
        <w:t>3.5.2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запроса, указанного в </w:t>
      </w:r>
      <w:hyperlink r:id="rId5">
        <w:r>
          <w:rPr>
            <w:rStyle w:val="Style11"/>
            <w:color w:val="0000FF"/>
            <w:sz w:val="28"/>
            <w:szCs w:val="28"/>
          </w:rPr>
          <w:t>подпункте</w:t>
        </w:r>
      </w:hyperlink>
      <w:r>
        <w:rPr>
          <w:sz w:val="28"/>
          <w:szCs w:val="28"/>
        </w:rPr>
        <w:t xml:space="preserve"> 7 пункта 3.5.2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пунктом 3.5.4. настоящего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3.5.4.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должностное лицо, ответственное за предоставление муниципальной услуги, в течении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должностное лицо, ответственное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>
      <w:pPr>
        <w:pStyle w:val="ConsPlusNormal1"/>
        <w:tabs>
          <w:tab w:val="left" w:pos="1418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3.5.5. Должностное лицо, ответственное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3.5.6.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должностное лицо, ответственное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3.5.7.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должностное лицо, ответственное за предоставление муниципальной услуги, оформляет специальное разрешение и в случаях, установленных пунктом 3.5.8. настоящего административного регламента, направляет в адрес Госавтоинспекции запрос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</w:t>
      </w:r>
      <w:hyperlink r:id="rId6">
        <w:r>
          <w:rPr>
            <w:rStyle w:val="Style11"/>
            <w:color w:val="0000FF"/>
            <w:sz w:val="28"/>
            <w:szCs w:val="28"/>
          </w:rPr>
          <w:t>пункте 2.</w:t>
        </w:r>
      </w:hyperlink>
      <w:r>
        <w:rPr>
          <w:sz w:val="28"/>
          <w:szCs w:val="28"/>
        </w:rPr>
        <w:t xml:space="preserve">6. настоящего административного регламента, и копий согласований маршрута транспортного средства.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 Согласование с Госавтоинспекцией проводится в случаях движения по автомобильным дорогам крупногабаритных транспортных средств, а также,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средства,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 В случае нарушения владельцами автомобильных дорог или согласующими организациями установленных сроков согласования должностное лицо, ответственное за предоставление муниципальной услуги,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и прилагаемые документы поступили в электронной форме, должностное лицо, ответственное за предоставление муниципальной услуги, направляет по адресу электронной почты заявителя либо в его личный кабинет на Региональном портале уведомление о приостановлении предоставления муниципальной услуги с указанием причин.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3.5.10. Критерием принятия решений является: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Уполномоченного права в выдаче специального разрешения по заявленному маршруту;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требования о перевозке делимого груза соблюдены;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согласовании маршрута установлена возможность осуществления перевозки по заявленному маршруту транспортным средством с заявленными техническими характеристиками;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согласие заявителя 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технического состояния автомобильной дороги;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внес плату в счет возмещения вреда, причиняемого автомобильным дорогам тяжеловесным транспортным средством;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необходимых согласований от владельцев автомобильных дорог или согласующих организаций на дату окончания срока действия специального разрешения, указанного в заявлении.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Срок выполнения административной процедуры составляет не более: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рабочих дней со дня регистрации поступивших документов;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3.5.12. Результатом выполнения административной процедуры является: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маршрута с владельцами автомобильных дорог и Госавтоинспекцией;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предоставлении муниципальной услуги.</w:t>
      </w:r>
    </w:p>
    <w:p>
      <w:pPr>
        <w:pStyle w:val="ConsPlusNormal1"/>
        <w:ind w:left="851" w:hanging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Выдача подготовленных документов заявителю</w:t>
      </w:r>
    </w:p>
    <w:p>
      <w:pPr>
        <w:pStyle w:val="ConsPlusNormal1"/>
        <w:tabs>
          <w:tab w:val="left" w:pos="1418" w:leader="none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согласование маршрута с владельцами автомобильных дорог и Госавтоинспекцией либо принятие решения об отказе в оформлении специального разрешения.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Должностное лицо, ответственное за предоставление муниципальной услуги, в течение 3 рабочих дней со дня согласования маршрута с владельцами автомобильных дорог и Госавтоинспекцией информирует заявителя о принятом решении. В случае принятия решения об отказе в предоставлении муниципальной услуги обеспечивает направление заявителю решения об отказе в предоставлении муниципальной услуги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указанного документа заявителю лично под расписку (по выбору заявителя).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и прилагаемые документы поступили в электронной форме, должностное лицо, ответственное за предоставление муниципальной услуги,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муниципальной услуги с указанием причин.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9 статьи 31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 Российской Федерации»,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Должностное лицо, ответственное за предоставление муниципальной услуги,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специального разрешения;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и срок действия специального разрешения;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транспортного средства, осуществляющего перевозки  тяжеловесных и (или) крупногабаритных грузов;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владельце транспортного средства: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организационно-правовая форма, адрес (местонахождение) юридического лица - для юридического лица;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получившего специальное разрешение.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3.6.7. Максимальный срок выполнения административной процедуры составляет 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3.6.8. Критерием принятия решения в рамках выполнения административной процедуры является: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произвел оплату государственной пошлины за выдачу специального разрешения;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3.6.9. Уведомление о выдаче или об отказе в выдаче специального разрешения может осуществляться: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1) путем направления по почте в адрес заявителя заказным письмом с уведомлением;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2) путем информирования заявителя в личном кабинете на Портале государственных и муниципальных услуг (функций) области;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3) при личной явке заявителя в Уполномоченный орган;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4) через МФЦ (в случае, если заявление подано в МФЦ).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Документы, предусмотренные подпунктом 1 пункта 3.6.9. настоящего административного регламента, направляются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3.6.10. Результатом выполнения административной процедуры является выдача заявителю специального разрешения либо направление (вручение) уведомления об отказе в предоставлении муниципальной услуги.</w:t>
      </w:r>
    </w:p>
    <w:p>
      <w:pPr>
        <w:pStyle w:val="Normal"/>
        <w:ind w:firstLine="540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</w:t>
      </w:r>
    </w:p>
    <w:p>
      <w:pPr>
        <w:pStyle w:val="4"/>
        <w:spacing w:before="0" w:after="0"/>
        <w:rPr>
          <w:b/>
          <w:b/>
        </w:rPr>
      </w:pPr>
      <w:r>
        <w:rPr>
          <w:b/>
        </w:rPr>
        <w:t>административного регламента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должностных лиц Уполномоченного органа, муниципальных служащих – руководителю Уполномоченного органа (главе </w:t>
      </w:r>
      <w:r>
        <w:rPr>
          <w:sz w:val="28"/>
          <w:szCs w:val="28"/>
        </w:rPr>
        <w:t>Заборскогог</w:t>
      </w:r>
      <w:r>
        <w:rPr>
          <w:sz w:val="28"/>
          <w:szCs w:val="28"/>
        </w:rPr>
        <w:t xml:space="preserve"> сельского поселения);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>
      <w:pPr>
        <w:pStyle w:val="Normal"/>
        <w:spacing w:lineRule="atLeast" w:line="23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а) официального сайта Уполномоченного органа в сети «Интернет»   </w:t>
      </w:r>
      <w:bookmarkStart w:id="7" w:name="__DdeLink__5911_24034350631"/>
      <w:r>
        <w:rPr>
          <w:rFonts w:cs="Arial"/>
          <w:sz w:val="28"/>
          <w:szCs w:val="28"/>
          <w:lang w:val="en-US"/>
        </w:rPr>
        <w:t>www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zaborskoe</w:t>
      </w:r>
      <w:r>
        <w:rPr>
          <w:rFonts w:cs="Arial"/>
          <w:sz w:val="28"/>
          <w:szCs w:val="28"/>
        </w:rPr>
        <w:t>.</w:t>
      </w:r>
      <w:bookmarkEnd w:id="7"/>
      <w:r>
        <w:rPr>
          <w:rFonts w:cs="Arial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;;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б) электронной почты Уполномоченного органа  </w:t>
      </w:r>
      <w:r>
        <w:rPr>
          <w:rFonts w:cs="Arial"/>
          <w:sz w:val="28"/>
          <w:szCs w:val="28"/>
          <w:lang w:val="en-US"/>
        </w:rPr>
        <w:t>ya.zaborie@yandex.ru</w:t>
      </w:r>
      <w:r>
        <w:rPr>
          <w:rFonts w:cs="Arial"/>
          <w:sz w:val="28"/>
          <w:szCs w:val="28"/>
        </w:rPr>
        <w:t>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>
        <w:rPr>
          <w:rFonts w:eastAsia="" w:cs="Arial" w:eastAsiaTheme="majorEastAsia"/>
          <w:sz w:val="28"/>
          <w:szCs w:val="28"/>
          <w:lang w:val="en-US"/>
        </w:rPr>
        <w:t>www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gosuslugi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gov</w:t>
      </w:r>
      <w:r>
        <w:rPr>
          <w:rFonts w:eastAsia="" w:cs="Arial" w:eastAsiaTheme="majorEastAsia"/>
          <w:sz w:val="28"/>
          <w:szCs w:val="28"/>
        </w:rPr>
        <w:t>35.</w:t>
      </w:r>
      <w:r>
        <w:rPr>
          <w:rFonts w:eastAsia="" w:cs="Arial" w:eastAsiaTheme="majorEastAsia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>
        <w:rPr>
          <w:rFonts w:eastAsia="" w:cs="Arial" w:eastAsiaTheme="majorEastAsia"/>
          <w:sz w:val="28"/>
          <w:szCs w:val="28"/>
          <w:lang w:val="en-US"/>
        </w:rPr>
        <w:t>www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gosuslugi</w:t>
      </w:r>
      <w:r>
        <w:rPr>
          <w:rFonts w:eastAsia="" w:cs="Arial" w:eastAsiaTheme="majorEastAsia"/>
          <w:sz w:val="28"/>
          <w:szCs w:val="28"/>
        </w:rPr>
        <w:t>.</w:t>
      </w:r>
      <w:r>
        <w:rPr>
          <w:rFonts w:eastAsia="" w:cs="Arial" w:eastAsiaTheme="majorEastAsia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7">
        <w:r>
          <w:rPr>
            <w:rStyle w:val="Style11"/>
            <w:rFonts w:cs="Arial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r>
        <w:rPr>
          <w:sz w:val="28"/>
          <w:szCs w:val="28"/>
          <w:lang w:val="ru-RU"/>
        </w:rPr>
        <w:t>Заборского</w:t>
      </w:r>
      <w:r>
        <w:rPr>
          <w:sz w:val="28"/>
          <w:szCs w:val="28"/>
        </w:rPr>
        <w:t xml:space="preserve"> сельского поселения, а также в иных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suppressAutoHyphens w:val="true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>
      <w:pPr>
        <w:pStyle w:val="Normal"/>
        <w:suppressAutoHyphens w:val="true"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(при наличии соглашения о взаимодействии)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>
      <w:pPr>
        <w:pStyle w:val="Normal"/>
        <w:suppressAutoHyphens w:val="true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>
      <w:pPr>
        <w:pStyle w:val="Normal"/>
        <w:tabs>
          <w:tab w:val="left" w:pos="1134" w:leader="none"/>
        </w:tabs>
        <w:ind w:firstLine="720"/>
        <w:jc w:val="both"/>
        <w:rPr/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8"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Style11"/>
            <w:rFonts w:eastAsia="MS Mincho"/>
            <w:color w:val="000000"/>
            <w:sz w:val="28"/>
            <w:szCs w:val="28"/>
          </w:rPr>
          <w:t>@</w:t>
        </w:r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Style11"/>
            <w:rFonts w:eastAsia="MS Mincho"/>
            <w:color w:val="000000"/>
            <w:sz w:val="28"/>
            <w:szCs w:val="28"/>
          </w:rPr>
          <w:t>.</w:t>
        </w:r>
        <w:r>
          <w:rPr>
            <w:rStyle w:val="Style11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9463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9.00-15.30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240" w:charSpace="4294961151"/>
        </w:sectPr>
      </w:pPr>
    </w:p>
    <w:p>
      <w:pPr>
        <w:pStyle w:val="ConsPlusNormal1"/>
        <w:spacing w:lineRule="auto" w:line="288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>
      <w:pPr>
        <w:pStyle w:val="Normal"/>
        <w:tabs>
          <w:tab w:val="left" w:pos="524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45" w:leader="none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952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sPlusNormal1"/>
                              <w:ind w:hanging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Приём заявления и документов, необходимых для получения специального  разрешения (специалист, ответственный за регистрацию документов п.3.2., в день обращения)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0.45pt;height:75pt;mso-wrap-distance-left:9pt;mso-wrap-distance-right:9pt;mso-wrap-distance-top:0pt;mso-wrap-distance-bottom:0pt;margin-top:6pt;mso-position-vertical-relative:text;margin-left:87.3pt;mso-position-horizontal-relative:text">
                <v:textbox>
                  <w:txbxContent>
                    <w:p>
                      <w:pPr>
                        <w:pStyle w:val="ConsPlusNormal1"/>
                        <w:ind w:hanging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Приём заявления и документов, необходимых для получения специального  разрешения (специалист, ответственный за регистрацию документов п.3.2., в день обращения)</w:t>
                      </w:r>
                    </w:p>
                    <w:p>
                      <w:pPr>
                        <w:pStyle w:val="Style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952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sPlusNormal1"/>
                              <w:ind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Прием и регистрация заявления и прилагаемых документов 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/>
                              <w:t xml:space="preserve">1 рабочий день со дня поступления заявления, 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  <w:t>пункт 3.3 настоящего административного регламента)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0.45pt;height:75pt;mso-wrap-distance-left:9pt;mso-wrap-distance-right:9pt;mso-wrap-distance-top:0pt;mso-wrap-distance-bottom:0pt;margin-top:6pt;mso-position-vertical-relative:text;margin-left:87.3pt;mso-position-horizontal-relative:text">
                <v:textbox>
                  <w:txbxContent>
                    <w:p>
                      <w:pPr>
                        <w:pStyle w:val="ConsPlusNormal1"/>
                        <w:ind w:hang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Прием и регистрация заявления и прилагаемых документов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/>
                        <w:t xml:space="preserve">1 рабочий день со дня поступления заявления, </w:t>
                      </w:r>
                    </w:p>
                    <w:p>
                      <w:pPr>
                        <w:pStyle w:val="Style27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/>
                        <w:t>пункт 3.3 настоящего административного регламента)</w:t>
                      </w:r>
                    </w:p>
                    <w:p>
                      <w:pPr>
                        <w:pStyle w:val="Style2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3544" w:right="-283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2912745</wp:posOffset>
                </wp:positionH>
                <wp:positionV relativeFrom="paragraph">
                  <wp:posOffset>309880</wp:posOffset>
                </wp:positionV>
                <wp:extent cx="36385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65pt,10.15pt" to="243.65pt,50.8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rmal1"/>
        <w:spacing w:lineRule="auto" w:line="28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371475</wp:posOffset>
                </wp:positionH>
                <wp:positionV relativeFrom="paragraph">
                  <wp:posOffset>156210</wp:posOffset>
                </wp:positionV>
                <wp:extent cx="5313045" cy="10877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10877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>
                                <w:rFonts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0"/>
                              </w:rPr>
                              <w:t xml:space="preserve">Рассмотрение заявления и прилагаемых документов 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  <w:t>(4 рабочих дня со дня регистрации заявления и прилагаемых документов, п. 3.4. административного регламента)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8.35pt;height:85.65pt;mso-wrap-distance-left:9pt;mso-wrap-distance-right:9pt;mso-wrap-distance-top:0pt;mso-wrap-distance-bottom:0pt;margin-top:12.3pt;mso-position-vertical-relative:text;margin-left:29.25pt;mso-position-horizontal-relative:text">
                <v:textbox>
                  <w:txbxContent>
                    <w:p>
                      <w:pPr>
                        <w:pStyle w:val="Style27"/>
                        <w:jc w:val="center"/>
                        <w:rPr>
                          <w:rFonts w:cs="Arial"/>
                          <w:sz w:val="28"/>
                          <w:szCs w:val="20"/>
                        </w:rPr>
                      </w:pPr>
                      <w:r>
                        <w:rPr>
                          <w:rFonts w:cs="Arial"/>
                          <w:sz w:val="28"/>
                          <w:szCs w:val="20"/>
                        </w:rPr>
                        <w:t xml:space="preserve">Рассмотрение заявления и прилагаемых документов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(4 рабочих дня со дня регистрации заявления и прилагаемых документов, п. 3.4.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2840990</wp:posOffset>
                </wp:positionH>
                <wp:positionV relativeFrom="paragraph">
                  <wp:posOffset>198120</wp:posOffset>
                </wp:positionV>
                <wp:extent cx="36385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pt,1.35pt" to="238pt,42.0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304800</wp:posOffset>
                </wp:positionH>
                <wp:positionV relativeFrom="paragraph">
                  <wp:posOffset>43815</wp:posOffset>
                </wp:positionV>
                <wp:extent cx="5313045" cy="12649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12649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>
                                <w:rFonts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0"/>
                              </w:rPr>
                              <w:t xml:space="preserve">Согласование маршрута </w:t>
                            </w:r>
                          </w:p>
                          <w:p>
                            <w:pPr>
                              <w:pStyle w:val="Style27"/>
                              <w:ind w:firstLine="709"/>
                              <w:jc w:val="both"/>
                              <w:rPr/>
                            </w:pPr>
                            <w:r>
                              <w:rPr/>
                              <w:t xml:space="preserve">(12 рабочих дней со дня регистрации поступивших документов; </w:t>
                            </w:r>
                          </w:p>
                          <w:p>
                            <w:pPr>
                              <w:pStyle w:val="Style27"/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Госавтоинспекцией, п. 3.5. административного регламента)</w:t>
                            </w:r>
                          </w:p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8.35pt;height:99.6pt;mso-wrap-distance-left:9pt;mso-wrap-distance-right:9pt;mso-wrap-distance-top:0pt;mso-wrap-distance-bottom:0pt;margin-top:3.45pt;mso-position-vertical-relative:text;margin-left:24pt;mso-position-horizontal-relative:text">
                <v:textbox>
                  <w:txbxContent>
                    <w:p>
                      <w:pPr>
                        <w:pStyle w:val="Style27"/>
                        <w:jc w:val="center"/>
                        <w:rPr>
                          <w:rFonts w:cs="Arial"/>
                          <w:sz w:val="28"/>
                          <w:szCs w:val="20"/>
                        </w:rPr>
                      </w:pPr>
                      <w:r>
                        <w:rPr>
                          <w:rFonts w:cs="Arial"/>
                          <w:sz w:val="28"/>
                          <w:szCs w:val="20"/>
                        </w:rPr>
                        <w:t xml:space="preserve">Согласование маршрута </w:t>
                      </w:r>
                    </w:p>
                    <w:p>
                      <w:pPr>
                        <w:pStyle w:val="Style27"/>
                        <w:ind w:firstLine="709"/>
                        <w:jc w:val="both"/>
                        <w:rPr/>
                      </w:pPr>
                      <w:r>
                        <w:rPr/>
                        <w:t xml:space="preserve">(12 рабочих дней со дня регистрации поступивших документов; </w:t>
                      </w:r>
                    </w:p>
                    <w:p>
                      <w:pPr>
                        <w:pStyle w:val="Style27"/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/>
                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Госавтоинспекцией, п. 3.5. административного регламента)</w:t>
                      </w:r>
                    </w:p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2840990</wp:posOffset>
                </wp:positionH>
                <wp:positionV relativeFrom="paragraph">
                  <wp:posOffset>262890</wp:posOffset>
                </wp:positionV>
                <wp:extent cx="36385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7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pt,6.45pt" to="238pt,47.15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5175250" cy="10414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10414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</w:rPr>
                              <w:t xml:space="preserve">Выдача  подготовленных документов заявителю 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  <w:t>(3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услуги, п. 3.6. административного регламента)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07.5pt;height:82pt;mso-wrap-distance-left:9pt;mso-wrap-distance-right:9pt;mso-wrap-distance-top:0pt;mso-wrap-distance-bottom:0pt;margin-top:5.35pt;mso-position-vertical-relative:text;margin-left:29.25pt;mso-position-horizontal-relative:text">
                <v:textbox>
                  <w:txbxContent>
                    <w:p>
                      <w:pPr>
                        <w:pStyle w:val="Style27"/>
                        <w:jc w:val="center"/>
                        <w:rPr/>
                      </w:pPr>
                      <w:r>
                        <w:rPr>
                          <w:sz w:val="28"/>
                        </w:rPr>
                        <w:t xml:space="preserve">Выдача  подготовленных документов заявителю </w:t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pStyle w:val="Style27"/>
                        <w:jc w:val="center"/>
                        <w:rPr/>
                      </w:pPr>
                      <w:r>
                        <w:rPr/>
                        <w:t>(3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услуги, п. 3.6.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spacing w:lineRule="auto" w:line="28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ind w:left="6521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1"/>
        <w:ind w:left="6521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1"/>
        <w:spacing w:before="0" w:after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Приложение 3</w:t>
      </w:r>
    </w:p>
    <w:p>
      <w:pPr>
        <w:pStyle w:val="Style25"/>
        <w:spacing w:before="0" w:after="0"/>
        <w:ind w:left="5245" w:hanging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Реквизиты заявителя 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(наименование, адрес местонахождение)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для  юридических  лиц, Ф.И.О., 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 - для  индивидуальных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предпринимателей и физических лиц)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Исх. от  __________ № ____________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поступило в ________________________________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_____________ № ____________</w:t>
      </w:r>
    </w:p>
    <w:p>
      <w:pPr>
        <w:pStyle w:val="ConsPlusNonformat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8" w:name="Par368"/>
      <w:bookmarkEnd w:id="8"/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получение специального разрешения на движение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автомобильным дорогам тяжеловесного и (или)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крупногабаритного транспортного средства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0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1"/>
      </w:tblGrid>
      <w:tr>
        <w:trPr/>
        <w:tc>
          <w:tcPr>
            <w:tcW w:w="960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38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ИНН, ОГРН/ОГРИП владельца     </w:t>
              <w:br/>
              <w:t xml:space="preserve">транспортного средства </w:t>
            </w:r>
            <w:hyperlink w:anchor="Par449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1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>
        <w:trPr>
          <w:trHeight w:val="360" w:hRule="atLeast"/>
        </w:trPr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200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Вид перевозки (межрегиональная, местная) </w:t>
            </w:r>
          </w:p>
        </w:tc>
        <w:tc>
          <w:tcPr>
            <w:tcW w:w="240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1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8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нет         </w:t>
            </w:r>
          </w:p>
        </w:tc>
      </w:tr>
      <w:tr>
        <w:trPr/>
        <w:tc>
          <w:tcPr>
            <w:tcW w:w="540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  <w:hyperlink w:anchor="Par450">
              <w:r>
                <w:rPr>
                  <w:rStyle w:val="Style11"/>
                  <w:rFonts w:cs="Times New Roman" w:ascii="Times New Roman" w:hAnsi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Масса       </w:t>
            </w:r>
          </w:p>
        </w:tc>
      </w:tr>
      <w:tr>
        <w:trPr>
          <w:trHeight w:val="360" w:hRule="atLeast"/>
        </w:trPr>
        <w:tc>
          <w:tcPr>
            <w:tcW w:w="540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</w:trPr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>
        <w:trPr>
          <w:trHeight w:val="360" w:hRule="atLeast"/>
        </w:trPr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>
        <w:trPr>
          <w:trHeight w:val="720" w:hRule="atLeast"/>
        </w:trPr>
        <w:tc>
          <w:tcPr>
            <w:tcW w:w="3120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Масса транспортного     </w:t>
              <w:br/>
              <w:t xml:space="preserve">средства (автопоезда)   </w:t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Масса тягача </w:t>
              <w:br/>
              <w:t xml:space="preserve">(т)          </w:t>
            </w:r>
          </w:p>
        </w:tc>
        <w:tc>
          <w:tcPr>
            <w:tcW w:w="252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Масса прицепа    </w:t>
              <w:br/>
              <w:t xml:space="preserve">(полуприцепа)    </w:t>
              <w:br/>
              <w:t xml:space="preserve">(т)              </w:t>
            </w:r>
          </w:p>
        </w:tc>
      </w:tr>
      <w:tr>
        <w:trPr/>
        <w:tc>
          <w:tcPr>
            <w:tcW w:w="3120" w:type="dxa"/>
            <w:gridSpan w:val="3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80" w:type="dxa"/>
            <w:gridSpan w:val="5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2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Расстояния между осями  </w:t>
            </w:r>
          </w:p>
        </w:tc>
        <w:tc>
          <w:tcPr>
            <w:tcW w:w="6481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1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1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>
        <w:trPr>
          <w:trHeight w:val="360" w:hRule="atLeast"/>
        </w:trPr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Высота    </w:t>
              <w:br/>
              <w:t xml:space="preserve">(м)       </w:t>
            </w:r>
          </w:p>
        </w:tc>
        <w:tc>
          <w:tcPr>
            <w:tcW w:w="456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Минимальный радиус поворота с     </w:t>
              <w:br/>
              <w:t xml:space="preserve">грузом (м)                        </w:t>
            </w:r>
          </w:p>
        </w:tc>
      </w:tr>
      <w:tr>
        <w:trPr/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6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504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Необходимость автомобиля              </w:t>
              <w:br/>
              <w:t xml:space="preserve">сопровождения (прикрытия)             </w:t>
            </w:r>
          </w:p>
        </w:tc>
        <w:tc>
          <w:tcPr>
            <w:tcW w:w="456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612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Предполагаемая максимальная скорость движения  </w:t>
              <w:br/>
              <w:t xml:space="preserve">транспортного средства (автопоезда) (км/час)   </w:t>
            </w:r>
          </w:p>
        </w:tc>
        <w:tc>
          <w:tcPr>
            <w:tcW w:w="348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0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01" w:type="dxa"/>
            <w:gridSpan w:val="1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>
        <w:trPr/>
        <w:tc>
          <w:tcPr>
            <w:tcW w:w="30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8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1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(фамилия)           </w:t>
            </w:r>
          </w:p>
        </w:tc>
      </w:tr>
    </w:tbl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49"/>
      <w:bookmarkEnd w:id="9"/>
      <w:r>
        <w:rPr>
          <w:rFonts w:cs="Times New Roman" w:ascii="Times New Roman" w:hAnsi="Times New Roman"/>
          <w:sz w:val="24"/>
          <w:szCs w:val="24"/>
        </w:rPr>
        <w:t>&lt;*&gt; Для российских владельцев транспортных средств.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701" w:right="851" w:header="720" w:top="1134" w:footer="720" w:bottom="1134" w:gutter="0"/>
          <w:pgNumType w:start="1" w:fmt="decimal"/>
          <w:formProt w:val="false"/>
          <w:titlePg/>
          <w:textDirection w:val="lrTb"/>
          <w:docGrid w:type="default" w:linePitch="326" w:charSpace="4294961151"/>
        </w:sect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50"/>
      <w:bookmarkEnd w:id="10"/>
      <w:r>
        <w:rPr>
          <w:rFonts w:cs="Times New Roman" w:ascii="Times New Roman" w:hAnsi="Times New Roman"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>
      <w:pPr>
        <w:pStyle w:val="ConsPlusNormal1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4 </w:t>
      </w:r>
    </w:p>
    <w:p>
      <w:pPr>
        <w:pStyle w:val="ConsPlusNormal1"/>
        <w:ind w:left="963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1"/>
        <w:ind w:left="963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ТРАНСПОРТНОГО СРЕДСТВА (АВТОПОЕЗДА), С ИСПОЛЬЗОВАНИЕМ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КОТОРОГО ПЛАНИРУЕТСЯ ОСУЩЕСТВЛЯТЬ ПЕРЕВОЗКИ ТЯЖЕЛОВЕСНЫХ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(ИЛИ) КРУПНОГАБАРИТНЫХ ГРУЗОВ, С УКАЗАНИЕМ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РАЗМЕЩЕНИЯ ТАКОГО ГРУЗА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sz w:val="20"/>
          <w:szCs w:val="20"/>
        </w:rPr>
        <w:t>Вид сбоку: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Рисунок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Вид сзади: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Рисунок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(должность, фамилия заявителя)              (подпись заявителя)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М.П.</w:t>
      </w:r>
    </w:p>
    <w:p>
      <w:pPr>
        <w:pStyle w:val="ConsPlusNormal1"/>
        <w:ind w:left="963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963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11"/>
      <w:footerReference w:type="default" r:id="rId12"/>
      <w:type w:val="nextPage"/>
      <w:pgSz w:orient="landscape" w:w="16838" w:h="11906"/>
      <w:pgMar w:left="1701" w:right="851" w:header="720" w:top="113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f88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2e7f8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Normal"/>
    <w:link w:val="30"/>
    <w:uiPriority w:val="9"/>
    <w:semiHidden/>
    <w:unhideWhenUsed/>
    <w:qFormat/>
    <w:rsid w:val="00bd130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1"/>
    <w:qFormat/>
    <w:rsid w:val="002e7f88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e7f88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e7f8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1">
    <w:name w:val="Интернет-ссылка"/>
    <w:basedOn w:val="DefaultParagraphFont"/>
    <w:rsid w:val="002e7f88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4"/>
    <w:uiPriority w:val="99"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411" w:customStyle="1">
    <w:name w:val="Заголовок 4 Знак1"/>
    <w:basedOn w:val="DefaultParagraphFont"/>
    <w:link w:val="4"/>
    <w:qFormat/>
    <w:rsid w:val="002e7f88"/>
    <w:rPr>
      <w:rFonts w:eastAsia="Times New Roman" w:cs="Times New Roman"/>
      <w:szCs w:val="28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6"/>
    <w:uiPriority w:val="99"/>
    <w:semiHidden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Style14" w:customStyle="1">
    <w:name w:val="Знак"/>
    <w:basedOn w:val="DefaultParagraphFont"/>
    <w:qFormat/>
    <w:rsid w:val="002e7f88"/>
    <w:rPr>
      <w:rFonts w:cs="Times New Roman"/>
      <w:sz w:val="16"/>
      <w:szCs w:val="16"/>
      <w:lang w:val="ru-RU" w:eastAsia="ru-RU"/>
    </w:rPr>
  </w:style>
  <w:style w:type="character" w:styleId="Style15" w:customStyle="1">
    <w:name w:val="Основной текст с отступом Знак"/>
    <w:basedOn w:val="DefaultParagraphFont"/>
    <w:link w:val="a9"/>
    <w:uiPriority w:val="99"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Style16" w:customStyle="1">
    <w:name w:val="Обычный (веб) Знак"/>
    <w:basedOn w:val="DefaultParagraphFont"/>
    <w:link w:val="ab"/>
    <w:qFormat/>
    <w:rsid w:val="002e7f88"/>
    <w:rPr>
      <w:rFonts w:eastAsia="Times New Roman" w:cs="Times New Roman"/>
      <w:sz w:val="24"/>
      <w:lang w:eastAsia="ru-RU"/>
    </w:rPr>
  </w:style>
  <w:style w:type="character" w:styleId="Style17" w:customStyle="1">
    <w:name w:val="Текст сноски Знак"/>
    <w:basedOn w:val="DefaultParagraphFont"/>
    <w:link w:val="ad"/>
    <w:semiHidden/>
    <w:qFormat/>
    <w:rsid w:val="002e7f88"/>
    <w:rPr>
      <w:rFonts w:eastAsia="Times New Roman" w:cs="Times New Roman"/>
      <w:sz w:val="20"/>
      <w:lang w:eastAsia="ru-RU"/>
    </w:rPr>
  </w:style>
  <w:style w:type="character" w:styleId="ConsPlusCell" w:customStyle="1">
    <w:name w:val="ConsPlusCell Знак"/>
    <w:basedOn w:val="DefaultParagraphFont"/>
    <w:link w:val="ConsPlusCell"/>
    <w:uiPriority w:val="99"/>
    <w:qFormat/>
    <w:rsid w:val="002e7f88"/>
    <w:rPr>
      <w:rFonts w:ascii="Arial" w:hAnsi="Arial" w:eastAsia="Times New Roman"/>
      <w:sz w:val="20"/>
      <w:lang w:eastAsia="ru-RU"/>
    </w:rPr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2e7f88"/>
    <w:rPr>
      <w:rFonts w:eastAsia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e7f88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2e7f88"/>
    <w:rPr>
      <w:rFonts w:ascii="Arial" w:hAnsi="Arial" w:eastAsia="Times New Roman"/>
      <w:sz w:val="20"/>
      <w:lang w:eastAsia="ru-RU"/>
    </w:rPr>
  </w:style>
  <w:style w:type="character" w:styleId="31" w:customStyle="1">
    <w:name w:val="Основной текст с отступом 3 Знак"/>
    <w:basedOn w:val="DefaultParagraphFont"/>
    <w:link w:val="31"/>
    <w:uiPriority w:val="99"/>
    <w:semiHidden/>
    <w:qFormat/>
    <w:rsid w:val="002e7f88"/>
    <w:rPr>
      <w:rFonts w:eastAsia="Times New Roman" w:cs="Times New Roman"/>
      <w:sz w:val="16"/>
      <w:szCs w:val="16"/>
      <w:lang w:eastAsia="ru-RU"/>
    </w:rPr>
  </w:style>
  <w:style w:type="character" w:styleId="32" w:customStyle="1">
    <w:name w:val="Заголовок 3 Знак"/>
    <w:basedOn w:val="DefaultParagraphFont"/>
    <w:link w:val="3"/>
    <w:qFormat/>
    <w:rsid w:val="00bd130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7"/>
    <w:uiPriority w:val="99"/>
    <w:semiHidden/>
    <w:unhideWhenUsed/>
    <w:rsid w:val="002e7f88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2e7f8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e7f8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2e7f88"/>
    <w:pPr>
      <w:ind w:firstLine="540"/>
      <w:jc w:val="both"/>
    </w:pPr>
    <w:rPr/>
  </w:style>
  <w:style w:type="paragraph" w:styleId="Style24">
    <w:name w:val="Footer"/>
    <w:basedOn w:val="Normal"/>
    <w:link w:val="a5"/>
    <w:uiPriority w:val="99"/>
    <w:rsid w:val="002e7f88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unhideWhenUsed/>
    <w:qFormat/>
    <w:rsid w:val="002e7f88"/>
    <w:pPr>
      <w:spacing w:lineRule="auto" w:line="480" w:before="0" w:after="120"/>
    </w:pPr>
    <w:rPr/>
  </w:style>
  <w:style w:type="paragraph" w:styleId="Style25">
    <w:name w:val="Body Text Indent"/>
    <w:basedOn w:val="Normal"/>
    <w:link w:val="aa"/>
    <w:uiPriority w:val="99"/>
    <w:unhideWhenUsed/>
    <w:rsid w:val="002e7f88"/>
    <w:pPr>
      <w:spacing w:before="0" w:after="120"/>
      <w:ind w:left="283" w:hanging="0"/>
    </w:pPr>
    <w:rPr/>
  </w:style>
  <w:style w:type="paragraph" w:styleId="NormalWeb">
    <w:name w:val="Normal (Web)"/>
    <w:basedOn w:val="Normal"/>
    <w:link w:val="ac"/>
    <w:qFormat/>
    <w:rsid w:val="002e7f88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ae"/>
    <w:semiHidden/>
    <w:qFormat/>
    <w:rsid w:val="002e7f88"/>
    <w:pPr/>
    <w:rPr>
      <w:sz w:val="20"/>
      <w:szCs w:val="20"/>
    </w:rPr>
  </w:style>
  <w:style w:type="paragraph" w:styleId="ConsPlusCell1" w:customStyle="1">
    <w:name w:val="ConsPlusCell"/>
    <w:link w:val="ConsPlusCell0"/>
    <w:uiPriority w:val="99"/>
    <w:qFormat/>
    <w:rsid w:val="002e7f88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6">
    <w:name w:val="Header"/>
    <w:basedOn w:val="Normal"/>
    <w:link w:val="af0"/>
    <w:uiPriority w:val="99"/>
    <w:unhideWhenUsed/>
    <w:rsid w:val="002e7f88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2e7f88"/>
    <w:pPr>
      <w:spacing w:before="0" w:after="120"/>
      <w:ind w:left="283" w:hanging="0"/>
    </w:pPr>
    <w:rPr>
      <w:sz w:val="16"/>
      <w:szCs w:val="16"/>
    </w:rPr>
  </w:style>
  <w:style w:type="paragraph" w:styleId="A5c8b0e714da563fe90b98cef41456e9db9fe9049761426654245bb2dd862eecmsonormal" w:customStyle="1">
    <w:name w:val="a5c8b0e714da563fe90b98cef41456e9db9fe9049761426654245bb2dd862eecmsonormal"/>
    <w:basedOn w:val="Normal"/>
    <w:qFormat/>
    <w:rsid w:val="002e7f88"/>
    <w:pPr>
      <w:spacing w:beforeAutospacing="1" w:afterAutospacing="1"/>
    </w:pPr>
    <w:rPr>
      <w:rFonts w:eastAsia="Calibri"/>
    </w:rPr>
  </w:style>
  <w:style w:type="paragraph" w:styleId="NoSpacing">
    <w:name w:val="No Spacing"/>
    <w:uiPriority w:val="1"/>
    <w:qFormat/>
    <w:rsid w:val="002e7f88"/>
    <w:pPr>
      <w:widowControl/>
      <w:bidi w:val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bd1302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bd1302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hyperlink" Target="consultantplus://offline/ref=408D631EBB63D98EB4AA7F29A7403FA0EFD7399E0BB20367553AE20E27C21EBC99033BC9D8BED9ADG9r6M" TargetMode="External"/><Relationship Id="rId4" Type="http://schemas.openxmlformats.org/officeDocument/2006/relationships/hyperlink" Target="consultantplus://offline/ref=D4CB737D440D0305D61396B46B253BFE6AC27EC462FBBD1498269B7AADBEA0D8DC82708088713B9AI3QFM" TargetMode="External"/><Relationship Id="rId5" Type="http://schemas.openxmlformats.org/officeDocument/2006/relationships/hyperlink" Target="consultantplus://offline/ref=39D55B91A45CDC2246E3A7535D342BBFE6AA5C66CF98D0B70A5C55A1706C7CBEB37BDFA32243319EpDQ1M" TargetMode="External"/><Relationship Id="rId6" Type="http://schemas.openxmlformats.org/officeDocument/2006/relationships/hyperlink" Target="consultantplus://offline/ref=C73A60BB0E3C077F887C068D917F68A521F6386B3192ABDF29795225607039239D37346816D7087175A4600FlDF4N" TargetMode="External"/><Relationship Id="rId7" Type="http://schemas.openxmlformats.org/officeDocument/2006/relationships/hyperlink" Target="http://pravo.minjust.ru/" TargetMode="External"/><Relationship Id="rId8" Type="http://schemas.openxmlformats.org/officeDocument/2006/relationships/hyperlink" Target="mailto:tarnogamfc@rambler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LibreOffice/5.3.2.2$Windows_X86_64 LibreOffice_project/6cd4f1ef626f15116896b1d8e1398b56da0d0ee1</Application>
  <Pages>37</Pages>
  <Words>8981</Words>
  <Characters>69670</Characters>
  <CharactersWithSpaces>79113</CharactersWithSpaces>
  <Paragraphs>529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2019-08-02T06:16:00Z</dcterms:created>
  <dc:creator>PC</dc:creator>
  <dc:description/>
  <dc:language>ru-RU</dc:language>
  <cp:lastModifiedBy/>
  <dcterms:modified xsi:type="dcterms:W3CDTF">2019-08-18T20:56:05Z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