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a3"/>
        <w:spacing w:after="0"/>
        <w:ind w:left="0" w:right="0"/>
        <w:jc w:val="center"/>
      </w:pPr>
      <w:r>
        <w:t xml:space="preserve">Совет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</w:t>
      </w:r>
      <w:r>
        <w:t>муниципального района Липецкой области Российской Федерации</w:t>
      </w: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a3"/>
        <w:spacing w:after="0"/>
        <w:ind w:left="0" w:right="0"/>
        <w:jc w:val="center"/>
      </w:pPr>
      <w:r>
        <w:t>Шестьдесят шестая сессия пятого созыва</w:t>
      </w: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a3"/>
        <w:spacing w:after="0"/>
        <w:ind w:left="0" w:right="0"/>
        <w:jc w:val="center"/>
      </w:pPr>
      <w:r>
        <w:t>РЕШЕНИЕ</w:t>
      </w: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a3"/>
        <w:spacing w:after="0"/>
        <w:ind w:left="0" w:right="0"/>
        <w:jc w:val="center"/>
      </w:pPr>
      <w:r>
        <w:t>16 января 2019 года                                                     № 351</w:t>
      </w: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Положение "Об оплате труда работников муници</w:t>
      </w:r>
      <w:r>
        <w:rPr>
          <w:rFonts w:ascii="Arial" w:hAnsi="Arial"/>
          <w:sz w:val="32"/>
        </w:rPr>
        <w:t xml:space="preserve">пальных бюджетных учреждений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сельсовет"</w:t>
      </w: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a3"/>
        <w:spacing w:after="0"/>
        <w:ind w:left="0" w:right="0" w:firstLine="567"/>
        <w:jc w:val="both"/>
      </w:pPr>
      <w:proofErr w:type="gramStart"/>
      <w:r>
        <w:t>Рассмотрев и обсудив обращение директора МБУК "</w:t>
      </w:r>
      <w:proofErr w:type="spellStart"/>
      <w:r>
        <w:t>Боринский</w:t>
      </w:r>
      <w:proofErr w:type="spellEnd"/>
      <w:r>
        <w:t xml:space="preserve"> ПЦКД" Оськиной М.А. о внесении изменений в Положение "Об оплате труда работников муниципальных бюджетных учреждений сельского по</w:t>
      </w:r>
      <w:r>
        <w:t xml:space="preserve">селения </w:t>
      </w:r>
      <w:proofErr w:type="spellStart"/>
      <w:r>
        <w:t>Боринский</w:t>
      </w:r>
      <w:proofErr w:type="spellEnd"/>
      <w:r>
        <w:t xml:space="preserve"> сельсовет", руководствуясь законодательством Российской Федерации, Липецкой области, </w:t>
      </w:r>
      <w:hyperlink r:id="rId4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 xml:space="preserve"> и други</w:t>
      </w:r>
      <w:r>
        <w:t xml:space="preserve">ми нормативно-правовыми актами органов местного самоуправления, учитывая решения сессии Липецкого муниципального район </w:t>
      </w:r>
      <w:hyperlink r:id="rId5">
        <w:r>
          <w:rPr>
            <w:rStyle w:val="InternetLink"/>
            <w:color w:val="0000FF"/>
            <w:u w:val="none"/>
          </w:rPr>
          <w:t>№228 от 27.12.2018г.</w:t>
        </w:r>
      </w:hyperlink>
      <w:r>
        <w:t xml:space="preserve"> о внесении изменен</w:t>
      </w:r>
      <w:r>
        <w:t>ий в положение</w:t>
      </w:r>
      <w:proofErr w:type="gramEnd"/>
      <w:r>
        <w:t xml:space="preserve"> </w:t>
      </w:r>
      <w:hyperlink r:id="rId6">
        <w:r>
          <w:rPr>
            <w:rStyle w:val="InternetLink"/>
            <w:color w:val="0000FF"/>
            <w:u w:val="none"/>
          </w:rPr>
          <w:t>№80 от 21.10.2008г.</w:t>
        </w:r>
      </w:hyperlink>
      <w:r>
        <w:t xml:space="preserve">"Об оплате труда работников муниципальных учреждений Липецкого муниципального района", Совет депутатов сельского поселения </w:t>
      </w:r>
      <w:proofErr w:type="spellStart"/>
      <w:r>
        <w:t>Б</w:t>
      </w:r>
      <w:r>
        <w:t>оринский</w:t>
      </w:r>
      <w:proofErr w:type="spellEnd"/>
      <w:r>
        <w:t xml:space="preserve"> сельсовет Липецкого муниципального района Липецкой области Российской Федерации</w:t>
      </w: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a3"/>
        <w:spacing w:after="0"/>
        <w:ind w:left="0" w:right="0"/>
        <w:jc w:val="both"/>
      </w:pPr>
      <w:r>
        <w:t>РЕШИЛ:</w:t>
      </w: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a3"/>
        <w:spacing w:after="0"/>
        <w:ind w:left="0" w:right="0" w:firstLine="567"/>
        <w:jc w:val="both"/>
      </w:pPr>
      <w:r>
        <w:t xml:space="preserve">1.Утвердить изменения в Положение "Об оплате труда работников муниципальных бюджетных учреждений сельского поселения </w:t>
      </w:r>
      <w:proofErr w:type="spellStart"/>
      <w:r>
        <w:t>Боринский</w:t>
      </w:r>
      <w:proofErr w:type="spellEnd"/>
      <w:r>
        <w:t xml:space="preserve"> сельсовет"</w:t>
      </w:r>
      <w:hyperlink r:id="rId7">
        <w:r>
          <w:rPr>
            <w:rStyle w:val="InternetLink"/>
            <w:color w:val="0000FF"/>
            <w:u w:val="none"/>
          </w:rPr>
          <w:t>от 16.09.2015 г. №236</w:t>
        </w:r>
      </w:hyperlink>
      <w:r>
        <w:t xml:space="preserve">, ,(с изменениями </w:t>
      </w:r>
      <w:hyperlink r:id="rId8">
        <w:r>
          <w:rPr>
            <w:rStyle w:val="InternetLink"/>
            <w:color w:val="0000FF"/>
            <w:u w:val="none"/>
          </w:rPr>
          <w:t>от 02.02.2017 г №226</w:t>
        </w:r>
      </w:hyperlink>
      <w:r>
        <w:t xml:space="preserve">, </w:t>
      </w:r>
      <w:hyperlink r:id="rId9">
        <w:r>
          <w:rPr>
            <w:rStyle w:val="InternetLink"/>
            <w:color w:val="0000FF"/>
            <w:u w:val="none"/>
          </w:rPr>
          <w:t>от 27.03.2017 № 236</w:t>
        </w:r>
      </w:hyperlink>
      <w:r>
        <w:t xml:space="preserve">, </w:t>
      </w:r>
      <w:hyperlink r:id="rId10">
        <w:r>
          <w:rPr>
            <w:rStyle w:val="InternetLink"/>
            <w:color w:val="0000FF"/>
            <w:u w:val="none"/>
          </w:rPr>
          <w:t>от 29.01.2018 №291</w:t>
        </w:r>
      </w:hyperlink>
      <w:r>
        <w:t>)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2.Настоящий нормативный документ вступа</w:t>
      </w:r>
      <w:r>
        <w:t>ет в силу со дня его обнародования и распространяется на взаимоотношения с 01.01.2019 года</w:t>
      </w: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a3"/>
        <w:spacing w:after="0"/>
        <w:ind w:left="0" w:right="0"/>
        <w:jc w:val="both"/>
      </w:pPr>
      <w:r>
        <w:t xml:space="preserve">Председатель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5B6CB4" w:rsidRDefault="003C3C7F">
      <w:pPr>
        <w:pStyle w:val="a3"/>
        <w:spacing w:after="0"/>
        <w:ind w:left="0" w:right="0"/>
        <w:jc w:val="both"/>
      </w:pPr>
      <w:r>
        <w:t xml:space="preserve">Н.В. </w:t>
      </w:r>
      <w:proofErr w:type="spellStart"/>
      <w:r>
        <w:t>Ярикова</w:t>
      </w:r>
      <w:proofErr w:type="spellEnd"/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a3"/>
        <w:spacing w:after="0"/>
        <w:ind w:left="0" w:right="0"/>
        <w:jc w:val="both"/>
      </w:pPr>
      <w:r>
        <w:t>Приложение №1 к решению сессии от 16.01.2019 г. №351</w:t>
      </w: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Изменения в положение "</w:t>
      </w:r>
      <w:r>
        <w:rPr>
          <w:sz w:val="32"/>
        </w:rPr>
        <w:t xml:space="preserve">Об оплате труда работников муниципальных бюджетных учреждений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сельсовет"</w:t>
      </w: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a3"/>
        <w:spacing w:after="0"/>
        <w:ind w:left="0" w:right="0" w:firstLine="567"/>
        <w:jc w:val="both"/>
      </w:pPr>
      <w:r>
        <w:t xml:space="preserve">Внести с 01.01.2019г. в положение "Об оплате труда работников муниципальных бюджетных учреждений сельского поселения </w:t>
      </w:r>
      <w:proofErr w:type="spellStart"/>
      <w:r>
        <w:t>Боринский</w:t>
      </w:r>
      <w:proofErr w:type="spellEnd"/>
      <w:r>
        <w:t xml:space="preserve"> сельсовет", </w:t>
      </w:r>
      <w:proofErr w:type="gramStart"/>
      <w:r>
        <w:t>утвержденное</w:t>
      </w:r>
      <w:proofErr w:type="gramEnd"/>
      <w:r>
        <w:t xml:space="preserve"> </w:t>
      </w:r>
      <w:r>
        <w:t xml:space="preserve">Решением сессии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 </w:t>
      </w:r>
      <w:hyperlink r:id="rId11">
        <w:r>
          <w:rPr>
            <w:rStyle w:val="InternetLink"/>
            <w:color w:val="0000FF"/>
            <w:u w:val="none"/>
          </w:rPr>
          <w:t>от 16.09.2015 г</w:t>
        </w:r>
        <w:r>
          <w:rPr>
            <w:rStyle w:val="InternetLink"/>
            <w:color w:val="0000FF"/>
            <w:u w:val="none"/>
          </w:rPr>
          <w:t>. №236</w:t>
        </w:r>
      </w:hyperlink>
      <w:r>
        <w:t xml:space="preserve"> следующие изменения:</w:t>
      </w: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a3"/>
        <w:spacing w:after="0"/>
        <w:ind w:left="0" w:right="0" w:firstLine="567"/>
        <w:jc w:val="both"/>
      </w:pPr>
      <w:r>
        <w:t>2. Таблицу №1 изложить в новой редакции:</w:t>
      </w: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a3"/>
        <w:spacing w:after="0"/>
        <w:ind w:left="0" w:right="0" w:firstLine="567"/>
        <w:jc w:val="both"/>
      </w:pPr>
      <w:r>
        <w:t>Таблица №1</w:t>
      </w: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a3"/>
        <w:spacing w:after="0"/>
        <w:ind w:left="0" w:right="0"/>
        <w:jc w:val="center"/>
      </w:pPr>
      <w:r>
        <w:rPr>
          <w:rStyle w:val="StrongEmphasis"/>
        </w:rPr>
        <w:t>Должностные оклады руководителей, специалистов и служащих муниципального бюджетного учреждения культуры "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поселенческий Центр культуры и досуга" сельского поселения</w:t>
      </w:r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</w:t>
      </w:r>
    </w:p>
    <w:p w:rsidR="005B6CB4" w:rsidRDefault="005B6CB4">
      <w:pPr>
        <w:pStyle w:val="a3"/>
        <w:spacing w:after="0"/>
        <w:ind w:left="0" w:right="0" w:firstLine="567"/>
        <w:jc w:val="both"/>
      </w:pPr>
    </w:p>
    <w:tbl>
      <w:tblPr>
        <w:tblW w:w="11339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27"/>
        <w:gridCol w:w="7012"/>
      </w:tblGrid>
      <w:tr w:rsidR="005B6CB4">
        <w:tc>
          <w:tcPr>
            <w:tcW w:w="11339" w:type="dxa"/>
            <w:gridSpan w:val="2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Профессиональная квалификационная группа "Должности работников культуры, искусства и кинематографии"</w:t>
            </w:r>
          </w:p>
        </w:tc>
      </w:tr>
      <w:tr w:rsidR="005B6CB4">
        <w:tc>
          <w:tcPr>
            <w:tcW w:w="4327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ДОЛЖНОСТЬ</w:t>
            </w:r>
          </w:p>
        </w:tc>
        <w:tc>
          <w:tcPr>
            <w:tcW w:w="7012" w:type="dxa"/>
            <w:shd w:val="clear" w:color="auto" w:fill="auto"/>
          </w:tcPr>
          <w:p w:rsidR="005B6CB4" w:rsidRDefault="003C3C7F">
            <w:pPr>
              <w:pStyle w:val="TableContents"/>
            </w:pPr>
            <w:r>
              <w:t>ОКЛАД</w:t>
            </w:r>
          </w:p>
        </w:tc>
      </w:tr>
      <w:tr w:rsidR="005B6CB4">
        <w:tc>
          <w:tcPr>
            <w:tcW w:w="4327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Директор (</w:t>
            </w:r>
            <w:proofErr w:type="gramStart"/>
            <w:r>
              <w:t>заведующий) Центра</w:t>
            </w:r>
            <w:proofErr w:type="gramEnd"/>
            <w:r>
              <w:t xml:space="preserve"> культура и досуга</w:t>
            </w:r>
          </w:p>
        </w:tc>
        <w:tc>
          <w:tcPr>
            <w:tcW w:w="7012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11370</w:t>
            </w:r>
          </w:p>
        </w:tc>
      </w:tr>
      <w:tr w:rsidR="005B6CB4">
        <w:tc>
          <w:tcPr>
            <w:tcW w:w="4327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Художественный руководитель Центра культура и досуга</w:t>
            </w:r>
          </w:p>
        </w:tc>
        <w:tc>
          <w:tcPr>
            <w:tcW w:w="7012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11170</w:t>
            </w:r>
          </w:p>
        </w:tc>
      </w:tr>
      <w:tr w:rsidR="005B6CB4">
        <w:tc>
          <w:tcPr>
            <w:tcW w:w="4327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Концертмейстер</w:t>
            </w:r>
          </w:p>
        </w:tc>
        <w:tc>
          <w:tcPr>
            <w:tcW w:w="7012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7300</w:t>
            </w:r>
          </w:p>
        </w:tc>
      </w:tr>
      <w:tr w:rsidR="005B6CB4">
        <w:tc>
          <w:tcPr>
            <w:tcW w:w="4327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Методист</w:t>
            </w:r>
          </w:p>
        </w:tc>
        <w:tc>
          <w:tcPr>
            <w:tcW w:w="7012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6040</w:t>
            </w:r>
          </w:p>
        </w:tc>
      </w:tr>
      <w:tr w:rsidR="005B6CB4">
        <w:tc>
          <w:tcPr>
            <w:tcW w:w="4327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Режиссер</w:t>
            </w:r>
          </w:p>
        </w:tc>
        <w:tc>
          <w:tcPr>
            <w:tcW w:w="7012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6 880</w:t>
            </w:r>
          </w:p>
        </w:tc>
      </w:tr>
      <w:tr w:rsidR="005B6CB4">
        <w:tc>
          <w:tcPr>
            <w:tcW w:w="4327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Руководитель кружка</w:t>
            </w:r>
          </w:p>
        </w:tc>
        <w:tc>
          <w:tcPr>
            <w:tcW w:w="7012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5190</w:t>
            </w:r>
          </w:p>
        </w:tc>
      </w:tr>
      <w:tr w:rsidR="005B6CB4">
        <w:tc>
          <w:tcPr>
            <w:tcW w:w="4327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Киномеханик</w:t>
            </w:r>
          </w:p>
        </w:tc>
        <w:tc>
          <w:tcPr>
            <w:tcW w:w="7012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4940</w:t>
            </w:r>
          </w:p>
        </w:tc>
      </w:tr>
      <w:tr w:rsidR="005B6CB4">
        <w:tc>
          <w:tcPr>
            <w:tcW w:w="4327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Художник-бутафор</w:t>
            </w:r>
          </w:p>
        </w:tc>
        <w:tc>
          <w:tcPr>
            <w:tcW w:w="7012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6630</w:t>
            </w:r>
          </w:p>
        </w:tc>
      </w:tr>
      <w:tr w:rsidR="005B6CB4">
        <w:tc>
          <w:tcPr>
            <w:tcW w:w="4327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Звукорежиссер</w:t>
            </w:r>
          </w:p>
        </w:tc>
        <w:tc>
          <w:tcPr>
            <w:tcW w:w="7012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6880</w:t>
            </w:r>
          </w:p>
        </w:tc>
      </w:tr>
      <w:tr w:rsidR="005B6CB4">
        <w:tc>
          <w:tcPr>
            <w:tcW w:w="11339" w:type="dxa"/>
            <w:gridSpan w:val="2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Профессиональная квалификационная группа "Общеотраслевые должности служащих третьего уровня</w:t>
            </w:r>
          </w:p>
        </w:tc>
      </w:tr>
      <w:tr w:rsidR="005B6CB4">
        <w:tc>
          <w:tcPr>
            <w:tcW w:w="4327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Бухгалтер</w:t>
            </w:r>
          </w:p>
        </w:tc>
        <w:tc>
          <w:tcPr>
            <w:tcW w:w="7012" w:type="dxa"/>
            <w:shd w:val="clear" w:color="auto" w:fill="auto"/>
          </w:tcPr>
          <w:p w:rsidR="005B6CB4" w:rsidRDefault="003C3C7F">
            <w:pPr>
              <w:pStyle w:val="TableContents"/>
              <w:spacing w:after="0"/>
              <w:ind w:left="0" w:right="0"/>
              <w:jc w:val="both"/>
            </w:pPr>
            <w:r>
              <w:t>5 380</w:t>
            </w:r>
          </w:p>
        </w:tc>
      </w:tr>
    </w:tbl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a3"/>
        <w:spacing w:after="0"/>
        <w:ind w:left="0" w:right="0" w:firstLine="567"/>
        <w:jc w:val="both"/>
      </w:pPr>
      <w:r>
        <w:t>2.Раздел 5. Премирование изложить в новой редакции: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"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Премирование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5.1. В целях материальной заинтересованности в достижении высоких результатов и качества труда может осуществляться премирование работников в соответствии с утвержденными показателями качес</w:t>
      </w:r>
      <w:r>
        <w:t>тва работы.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5.2. Премия по итогам работы. При премировании учитывается: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- 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руководителя);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 xml:space="preserve">- достижение и превышение </w:t>
      </w:r>
      <w:r>
        <w:t>плановых и нормативных показателей работы;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- инициатива, творчество и применение в работе современных форм и методов организации труда;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-своевременность и полнота подготовки отчетности о деятельности учреждения;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 xml:space="preserve">- соблюдение трудовой и исполнительской </w:t>
      </w:r>
      <w:r>
        <w:t>дисциплины;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- соблюдение правил внутреннего трудового распорядка.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Премия по итогам работы: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- Единовременные премии;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- Премия за качество выполняемых работ;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- Премия за выполнение особо важных и срочных работ;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- Премии к Общероссийским праздникам, Дню работ</w:t>
      </w:r>
      <w:r>
        <w:t>ника культуры;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- Премия к юбилейной дате работника (50, 60, 70 и далее каждые 5 лет);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- Премия в связи с уходом работника на пенсию;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- Иные виды премий;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5.3. В качестве расчетного периода для начисления премий принимается обратное время, равное кварталу. Р</w:t>
      </w:r>
      <w:r>
        <w:t>аботники, поступившие на работу в течени</w:t>
      </w:r>
      <w:proofErr w:type="gramStart"/>
      <w:r>
        <w:t>и</w:t>
      </w:r>
      <w:proofErr w:type="gramEnd"/>
      <w:r>
        <w:t xml:space="preserve"> периода, принятого в качестве расчетного для начисления премии, могут быть премированы с учетом их трудового вклада и фактически отработанного времени.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 xml:space="preserve">5.4. </w:t>
      </w:r>
      <w:proofErr w:type="gramStart"/>
      <w:r>
        <w:t xml:space="preserve">Работники, допустившие нарушение трудовой дисциплины или </w:t>
      </w:r>
      <w:r>
        <w:t>ненадлежащее исполнение возложенных на них трудовых обязанностей, наряду с привлечением их к дисциплинарной ответственности, могут быть приказом директора учреждения на основании мотивированной записки руководителя подразделения лишены премии полностью или</w:t>
      </w:r>
      <w:r>
        <w:t xml:space="preserve"> частично.</w:t>
      </w:r>
      <w:proofErr w:type="gramEnd"/>
    </w:p>
    <w:p w:rsidR="005B6CB4" w:rsidRDefault="003C3C7F">
      <w:pPr>
        <w:pStyle w:val="a3"/>
        <w:spacing w:after="0"/>
        <w:ind w:left="0" w:right="0" w:firstLine="567"/>
        <w:jc w:val="both"/>
      </w:pPr>
      <w:r>
        <w:t>5.5. Полное или частичное лишение премии производится за расчетный период, в котором имело место производственное упущение или нарушения трудовой дисциплины.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5.6. Премия по итогам работы за квартал выплачивается в пределах имеющихся сре</w:t>
      </w:r>
      <w:proofErr w:type="gramStart"/>
      <w:r>
        <w:t>дств пр</w:t>
      </w:r>
      <w:proofErr w:type="gramEnd"/>
      <w:r>
        <w:t xml:space="preserve">и </w:t>
      </w:r>
      <w:r>
        <w:t>наличии экономии средств по фонду оплаты труда и за счет средств по фонду оплаты труда и за счет средств от оказания платных услуг и доходов от предпринимательской и иной приносящей доход деятельности.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5.7. Конкретный размер премии может определяться как в</w:t>
      </w:r>
      <w:r>
        <w:t xml:space="preserve"> процентах к должностному окладу работника, так и в абсолютном размере.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5.8. Размеры премии определяются, исходя из результатов деятельности, и максимальными размерами не ограничиваются.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5.9. Работникам учреждений могут быть выплачены единовременные премии</w:t>
      </w:r>
      <w:r>
        <w:t xml:space="preserve"> в связи с государственными или профессиональными праздниками, знаменательными датами, персональными юбилейными датами, а также </w:t>
      </w:r>
      <w:proofErr w:type="gramStart"/>
      <w:r>
        <w:t>за</w:t>
      </w:r>
      <w:proofErr w:type="gramEnd"/>
      <w:r>
        <w:t>: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- успешное и добросовестное исполнение работником своих должностных обязанностей в соответствующем периоде (отсутствие замеч</w:t>
      </w:r>
      <w:r>
        <w:t>аний со стороны руководителя);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- достижение и превышение плановых и нормативных показателей работы;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-своевременность и полнота подготовки отчетности о деятельности учреждения, размер которых определяется локальными нормативными актами.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5.10. Единовременные</w:t>
      </w:r>
      <w:r>
        <w:t xml:space="preserve"> премии выплачиваются при наличии экономий средств по фонду оплаты труда и за счет средств от оказания платных услуг и доходов от предпринимательской и иной приносящей доход деятельности.</w:t>
      </w:r>
    </w:p>
    <w:p w:rsidR="005B6CB4" w:rsidRDefault="003C3C7F">
      <w:pPr>
        <w:pStyle w:val="a3"/>
        <w:spacing w:after="0"/>
        <w:ind w:left="0" w:right="0" w:firstLine="567"/>
        <w:jc w:val="both"/>
      </w:pPr>
      <w:r>
        <w:t>5.11. Основанием издания приказа о единовременном премировании работ</w:t>
      </w:r>
      <w:r>
        <w:t>ников является мотивированная докладная записка руководителя структурного подразделения учреждения</w:t>
      </w:r>
      <w:proofErr w:type="gramStart"/>
      <w:r>
        <w:t>."</w:t>
      </w:r>
      <w:proofErr w:type="gramEnd"/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5B6CB4">
      <w:pPr>
        <w:pStyle w:val="a3"/>
        <w:spacing w:after="0"/>
        <w:ind w:left="0" w:right="0" w:firstLine="567"/>
        <w:jc w:val="both"/>
      </w:pPr>
    </w:p>
    <w:p w:rsidR="005B6CB4" w:rsidRDefault="003C3C7F">
      <w:pPr>
        <w:pStyle w:val="a3"/>
        <w:spacing w:after="0"/>
        <w:ind w:left="0" w:right="0"/>
        <w:jc w:val="both"/>
      </w:pPr>
      <w:r>
        <w:t xml:space="preserve">Глава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5B6CB4" w:rsidRDefault="003C3C7F">
      <w:pPr>
        <w:pStyle w:val="a3"/>
        <w:spacing w:after="0"/>
        <w:ind w:left="0" w:right="0"/>
        <w:jc w:val="both"/>
      </w:pPr>
      <w:r>
        <w:t xml:space="preserve">Н. В. </w:t>
      </w:r>
      <w:proofErr w:type="spellStart"/>
      <w:r>
        <w:t>Ярикова</w:t>
      </w:r>
      <w:proofErr w:type="spellEnd"/>
    </w:p>
    <w:sectPr w:rsidR="005B6CB4" w:rsidSect="005B6CB4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5B6CB4"/>
    <w:rsid w:val="003C3C7F"/>
    <w:rsid w:val="005B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B4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5B6CB4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5B6CB4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5B6CB4"/>
  </w:style>
  <w:style w:type="character" w:customStyle="1" w:styleId="FootnoteCharacters">
    <w:name w:val="Footnote Characters"/>
    <w:qFormat/>
    <w:rsid w:val="005B6CB4"/>
  </w:style>
  <w:style w:type="character" w:customStyle="1" w:styleId="InternetLink">
    <w:name w:val="Internet Link"/>
    <w:rsid w:val="005B6CB4"/>
    <w:rPr>
      <w:color w:val="000080"/>
      <w:u w:val="single"/>
    </w:rPr>
  </w:style>
  <w:style w:type="character" w:customStyle="1" w:styleId="StrongEmphasis">
    <w:name w:val="Strong Emphasis"/>
    <w:qFormat/>
    <w:rsid w:val="005B6CB4"/>
    <w:rPr>
      <w:b/>
      <w:bCs/>
    </w:rPr>
  </w:style>
  <w:style w:type="paragraph" w:customStyle="1" w:styleId="HorizontalLine">
    <w:name w:val="Horizontal Line"/>
    <w:basedOn w:val="a"/>
    <w:next w:val="a3"/>
    <w:qFormat/>
    <w:rsid w:val="005B6CB4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5B6CB4"/>
    <w:rPr>
      <w:i/>
    </w:rPr>
  </w:style>
  <w:style w:type="paragraph" w:customStyle="1" w:styleId="TableContents">
    <w:name w:val="Table Contents"/>
    <w:basedOn w:val="a3"/>
    <w:qFormat/>
    <w:rsid w:val="005B6CB4"/>
  </w:style>
  <w:style w:type="paragraph" w:customStyle="1" w:styleId="Footer">
    <w:name w:val="Footer"/>
    <w:basedOn w:val="a"/>
    <w:rsid w:val="005B6CB4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5B6CB4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5B6CB4"/>
    <w:pPr>
      <w:suppressLineNumbers/>
    </w:pPr>
  </w:style>
  <w:style w:type="paragraph" w:customStyle="1" w:styleId="Caption">
    <w:name w:val="Caption"/>
    <w:basedOn w:val="a"/>
    <w:qFormat/>
    <w:rsid w:val="005B6CB4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5B6CB4"/>
  </w:style>
  <w:style w:type="paragraph" w:styleId="a3">
    <w:name w:val="Body Text"/>
    <w:basedOn w:val="a"/>
    <w:rsid w:val="005B6CB4"/>
    <w:pPr>
      <w:spacing w:before="0" w:after="283"/>
    </w:pPr>
  </w:style>
  <w:style w:type="paragraph" w:customStyle="1" w:styleId="Heading">
    <w:name w:val="Heading"/>
    <w:basedOn w:val="a"/>
    <w:next w:val="a3"/>
    <w:qFormat/>
    <w:rsid w:val="005B6CB4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5B6CB4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2A4AAC9-DE7C-4665-5054-62A99D786C79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367992ea-d682-4980-9062-6a73d2fe8ff8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6a4edc5a-f1f2-42fd-bd6d-aacf9bb89cc0.html" TargetMode="External"/><Relationship Id="rId11" Type="http://schemas.openxmlformats.org/officeDocument/2006/relationships/hyperlink" Target="http://dostup.scli.ru:8111/content/act/367992ea-d682-4980-9062-6a73d2fe8ff8.html" TargetMode="External"/><Relationship Id="rId5" Type="http://schemas.openxmlformats.org/officeDocument/2006/relationships/hyperlink" Target="http://dostup.scli.ru:8111/content/act/2ED307AC-36B0-D69F-FCA5-6A7080CBA53A.html" TargetMode="External"/><Relationship Id="rId10" Type="http://schemas.openxmlformats.org/officeDocument/2006/relationships/hyperlink" Target="http://dostup.scli.ru:8111/content/act/901C34A0-9EDA-FEDE-89D8-CA9F2F0C0D5F.html" TargetMode="External"/><Relationship Id="rId4" Type="http://schemas.openxmlformats.org/officeDocument/2006/relationships/hyperlink" Target="http://dostup.scli.ru:8111/content/act/537bda35-d32a-4663-99fe-6400694f9a82.html" TargetMode="External"/><Relationship Id="rId9" Type="http://schemas.openxmlformats.org/officeDocument/2006/relationships/hyperlink" Target="http://dostup.scli.ru:8111/content/act/89BFCD4F-0639-6BA1-AB17-7EDF8FB3F29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6076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2019-03-01T08:06:00Z</dcterms:created>
  <dcterms:modified xsi:type="dcterms:W3CDTF">2019-03-01T08:06:00Z</dcterms:modified>
  <dc:language>en-US</dc:language>
</cp:coreProperties>
</file>