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7D" w:rsidRPr="00EC5B5E" w:rsidRDefault="00E40A7D" w:rsidP="000E528A">
      <w:pPr>
        <w:tabs>
          <w:tab w:val="center" w:pos="4960"/>
          <w:tab w:val="left" w:pos="9168"/>
        </w:tabs>
        <w:jc w:val="center"/>
        <w:rPr>
          <w:rFonts w:ascii="Times New Roman" w:hAnsi="Times New Roman"/>
          <w:sz w:val="28"/>
          <w:szCs w:val="28"/>
        </w:rPr>
      </w:pPr>
    </w:p>
    <w:p w:rsidR="00396D71" w:rsidRDefault="00396D71" w:rsidP="00396D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96D71" w:rsidRDefault="00396D71" w:rsidP="00396D7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96D71" w:rsidRDefault="00396D71" w:rsidP="00396D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96D71" w:rsidRDefault="00396D71" w:rsidP="00396D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БОЛЬШОЕ МИКУШКИНО</w:t>
      </w:r>
    </w:p>
    <w:p w:rsidR="00396D71" w:rsidRDefault="00396D71" w:rsidP="00396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96D71" w:rsidRDefault="00396D71" w:rsidP="00396D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апреля  2021 года  № 51   </w:t>
      </w:r>
    </w:p>
    <w:p w:rsidR="00396D71" w:rsidRDefault="00396D71" w:rsidP="00396D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A7D" w:rsidRDefault="00E40A7D" w:rsidP="00EC5B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74768">
        <w:rPr>
          <w:rFonts w:ascii="Times New Roman" w:hAnsi="Times New Roman"/>
          <w:color w:val="000000"/>
          <w:sz w:val="28"/>
          <w:szCs w:val="20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0"/>
        </w:rPr>
        <w:t>м</w:t>
      </w:r>
      <w:r>
        <w:rPr>
          <w:rFonts w:ascii="Times New Roman" w:hAnsi="Times New Roman"/>
          <w:sz w:val="28"/>
          <w:szCs w:val="28"/>
        </w:rPr>
        <w:t xml:space="preserve">естных </w:t>
      </w:r>
      <w:r w:rsidRPr="008E0EC4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E0EC4">
        <w:rPr>
          <w:rFonts w:ascii="Times New Roman" w:hAnsi="Times New Roman"/>
          <w:sz w:val="28"/>
          <w:szCs w:val="28"/>
        </w:rPr>
        <w:t>градостроительного</w:t>
      </w:r>
    </w:p>
    <w:p w:rsidR="00E40A7D" w:rsidRDefault="00E40A7D" w:rsidP="00EC5B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 xml:space="preserve"> проектирования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Исаклинский</w:t>
      </w:r>
    </w:p>
    <w:p w:rsidR="00E40A7D" w:rsidRPr="00336EAC" w:rsidRDefault="00E40A7D" w:rsidP="00EC5B5E">
      <w:pPr>
        <w:jc w:val="center"/>
        <w:rPr>
          <w:rFonts w:ascii="Times New Roman" w:hAnsi="Times New Roman"/>
          <w:color w:val="000000"/>
          <w:sz w:val="30"/>
          <w:szCs w:val="20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  <w:r w:rsidRPr="00074768">
        <w:rPr>
          <w:rFonts w:ascii="Times New Roman" w:hAnsi="Times New Roman"/>
          <w:color w:val="000000"/>
          <w:sz w:val="28"/>
          <w:szCs w:val="20"/>
        </w:rPr>
        <w:tab/>
      </w:r>
      <w:r>
        <w:rPr>
          <w:rFonts w:ascii="Times New Roman" w:hAnsi="Times New Roman"/>
          <w:sz w:val="28"/>
          <w:szCs w:val="28"/>
        </w:rPr>
        <w:t>В соответствии с положениями статей 29.1-29.3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/>
          <w:color w:val="000000"/>
          <w:sz w:val="28"/>
          <w:szCs w:val="20"/>
        </w:rPr>
        <w:t xml:space="preserve">, Собрание представителей </w:t>
      </w:r>
      <w:r w:rsidR="00CA79FD">
        <w:rPr>
          <w:rFonts w:ascii="Times New Roman" w:hAnsi="Times New Roman"/>
          <w:color w:val="000000"/>
          <w:sz w:val="28"/>
          <w:szCs w:val="20"/>
        </w:rPr>
        <w:t>сельского поселения Большое Мику</w:t>
      </w:r>
      <w:r w:rsidR="00CA79FD">
        <w:rPr>
          <w:rFonts w:ascii="Times New Roman" w:hAnsi="Times New Roman"/>
          <w:color w:val="000000"/>
          <w:sz w:val="28"/>
          <w:szCs w:val="20"/>
        </w:rPr>
        <w:t>ш</w:t>
      </w:r>
      <w:r w:rsidR="00CA79FD">
        <w:rPr>
          <w:rFonts w:ascii="Times New Roman" w:hAnsi="Times New Roman"/>
          <w:color w:val="000000"/>
          <w:sz w:val="28"/>
          <w:szCs w:val="20"/>
        </w:rPr>
        <w:t>кино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 муниципального района Исаклинский </w:t>
      </w:r>
    </w:p>
    <w:p w:rsidR="00E40A7D" w:rsidRPr="00EC5B5E" w:rsidRDefault="00E40A7D" w:rsidP="00EC5B5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EC5B5E">
        <w:rPr>
          <w:rFonts w:ascii="Times New Roman" w:hAnsi="Times New Roman"/>
          <w:b/>
          <w:color w:val="000000"/>
          <w:sz w:val="28"/>
          <w:szCs w:val="20"/>
        </w:rPr>
        <w:t>РЕШИЛО:</w:t>
      </w: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  <w:r w:rsidRPr="00074768">
        <w:rPr>
          <w:rFonts w:ascii="Times New Roman" w:hAnsi="Times New Roman"/>
          <w:color w:val="000000"/>
          <w:sz w:val="28"/>
          <w:szCs w:val="20"/>
        </w:rPr>
        <w:t xml:space="preserve">          1. Утвердить прилагаемы</w:t>
      </w:r>
      <w:r>
        <w:rPr>
          <w:rFonts w:ascii="Times New Roman" w:hAnsi="Times New Roman"/>
          <w:color w:val="000000"/>
          <w:sz w:val="28"/>
          <w:szCs w:val="20"/>
        </w:rPr>
        <w:t>е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местные нормативы градостроительного проектирования муниципального района Исаклинский Самарской области</w:t>
      </w:r>
      <w:r w:rsidRPr="00074768">
        <w:rPr>
          <w:rFonts w:ascii="Times New Roman" w:hAnsi="Times New Roman"/>
          <w:color w:val="000000"/>
          <w:sz w:val="28"/>
          <w:szCs w:val="20"/>
        </w:rPr>
        <w:t>.</w:t>
      </w: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ab/>
        <w:t>2. Р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азместить </w:t>
      </w:r>
      <w:r>
        <w:rPr>
          <w:rFonts w:ascii="Times New Roman" w:hAnsi="Times New Roman"/>
          <w:color w:val="000000"/>
          <w:sz w:val="28"/>
          <w:szCs w:val="20"/>
        </w:rPr>
        <w:t>настоящее решение на офици</w:t>
      </w:r>
      <w:r w:rsidRPr="00074768">
        <w:rPr>
          <w:rFonts w:ascii="Times New Roman" w:hAnsi="Times New Roman"/>
          <w:color w:val="000000"/>
          <w:sz w:val="28"/>
          <w:szCs w:val="20"/>
        </w:rPr>
        <w:t>альном сайте Администр</w:t>
      </w:r>
      <w:r w:rsidRPr="00074768">
        <w:rPr>
          <w:rFonts w:ascii="Times New Roman" w:hAnsi="Times New Roman"/>
          <w:color w:val="000000"/>
          <w:sz w:val="28"/>
          <w:szCs w:val="20"/>
        </w:rPr>
        <w:t>а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ции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  <w:r w:rsidRPr="00074768">
        <w:rPr>
          <w:rFonts w:ascii="Times New Roman" w:hAnsi="Times New Roman"/>
          <w:color w:val="000000"/>
          <w:sz w:val="28"/>
          <w:szCs w:val="20"/>
        </w:rPr>
        <w:t>муниципального района Исаклинский.</w:t>
      </w:r>
    </w:p>
    <w:p w:rsidR="00E40A7D" w:rsidRPr="00EC5B5E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rPr>
          <w:rFonts w:ascii="Times New Roman" w:hAnsi="Times New Roman"/>
          <w:sz w:val="28"/>
          <w:szCs w:val="28"/>
        </w:rPr>
      </w:pPr>
    </w:p>
    <w:p w:rsidR="00CA79FD" w:rsidRDefault="00E40A7D" w:rsidP="00EC5B5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 xml:space="preserve">Глава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</w:p>
    <w:p w:rsidR="00E40A7D" w:rsidRPr="00EC5B5E" w:rsidRDefault="00E40A7D" w:rsidP="00EC5B5E">
      <w:pPr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        </w:t>
      </w:r>
      <w:r w:rsidR="00CA79FD">
        <w:rPr>
          <w:rFonts w:ascii="Times New Roman" w:hAnsi="Times New Roman"/>
          <w:sz w:val="28"/>
          <w:szCs w:val="28"/>
        </w:rPr>
        <w:t xml:space="preserve">               </w:t>
      </w:r>
      <w:r w:rsidR="00CA79FD">
        <w:rPr>
          <w:rFonts w:ascii="Times New Roman" w:hAnsi="Times New Roman"/>
          <w:sz w:val="28"/>
          <w:szCs w:val="28"/>
        </w:rPr>
        <w:tab/>
        <w:t xml:space="preserve">   Самарской области                                                      Н.И.Сидорова</w:t>
      </w:r>
    </w:p>
    <w:p w:rsidR="00E40A7D" w:rsidRDefault="00E40A7D" w:rsidP="00EC5B5E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ab/>
        <w:t xml:space="preserve">Председатель Собрания представителей </w:t>
      </w:r>
    </w:p>
    <w:p w:rsidR="00CA79FD" w:rsidRDefault="00CA79FD" w:rsidP="00EC5B5E">
      <w:pPr>
        <w:tabs>
          <w:tab w:val="left" w:pos="704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</w:p>
    <w:p w:rsidR="00E40A7D" w:rsidRPr="00EC5B5E" w:rsidRDefault="00E40A7D" w:rsidP="00EC5B5E">
      <w:pPr>
        <w:tabs>
          <w:tab w:val="left" w:pos="7044"/>
        </w:tabs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>муниципального района Исаклин</w:t>
      </w:r>
      <w:r w:rsidR="00CA79FD">
        <w:rPr>
          <w:rFonts w:ascii="Times New Roman" w:hAnsi="Times New Roman"/>
          <w:sz w:val="28"/>
          <w:szCs w:val="28"/>
        </w:rPr>
        <w:t>ский</w:t>
      </w:r>
    </w:p>
    <w:p w:rsidR="00E40A7D" w:rsidRPr="00EC5B5E" w:rsidRDefault="00CA79FD" w:rsidP="00CA79FD">
      <w:pPr>
        <w:tabs>
          <w:tab w:val="left" w:pos="6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>С.Л.Разеева</w:t>
      </w:r>
    </w:p>
    <w:p w:rsidR="00E40A7D" w:rsidRPr="00EC5B5E" w:rsidRDefault="00E40A7D" w:rsidP="00EC5B5E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rPr>
          <w:rFonts w:ascii="Times New Roman" w:hAnsi="Times New Roman"/>
        </w:rPr>
      </w:pPr>
    </w:p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Pr="00396D71" w:rsidRDefault="00E40A7D" w:rsidP="00EC5B5E">
      <w:pPr>
        <w:rPr>
          <w:rFonts w:ascii="Times New Roman" w:hAnsi="Times New Roman"/>
        </w:rPr>
      </w:pPr>
    </w:p>
    <w:p w:rsidR="00E40A7D" w:rsidRPr="00396D71" w:rsidRDefault="00E40A7D" w:rsidP="00EC5B5E">
      <w:pPr>
        <w:tabs>
          <w:tab w:val="left" w:pos="6468"/>
          <w:tab w:val="right" w:pos="9355"/>
        </w:tabs>
        <w:jc w:val="right"/>
        <w:outlineLvl w:val="0"/>
        <w:rPr>
          <w:rFonts w:ascii="Times New Roman" w:hAnsi="Times New Roman"/>
        </w:rPr>
      </w:pPr>
      <w:r w:rsidRPr="00396D71">
        <w:rPr>
          <w:rFonts w:ascii="Times New Roman" w:hAnsi="Times New Roman"/>
          <w:color w:val="000000"/>
          <w:sz w:val="28"/>
          <w:szCs w:val="20"/>
        </w:rPr>
        <w:t xml:space="preserve">            </w:t>
      </w:r>
      <w:r w:rsidRPr="00396D71">
        <w:rPr>
          <w:rFonts w:ascii="Times New Roman" w:hAnsi="Times New Roman"/>
        </w:rPr>
        <w:t>Приложение</w:t>
      </w:r>
    </w:p>
    <w:p w:rsidR="00E40A7D" w:rsidRPr="00396D71" w:rsidRDefault="00E40A7D" w:rsidP="00EC5B5E">
      <w:pPr>
        <w:jc w:val="right"/>
        <w:outlineLvl w:val="0"/>
        <w:rPr>
          <w:rFonts w:ascii="Times New Roman" w:hAnsi="Times New Roman"/>
        </w:rPr>
      </w:pPr>
      <w:r w:rsidRPr="00396D71">
        <w:rPr>
          <w:rFonts w:ascii="Times New Roman" w:hAnsi="Times New Roman"/>
        </w:rPr>
        <w:t>к решению Собрания представителей</w:t>
      </w:r>
    </w:p>
    <w:p w:rsidR="00CA79FD" w:rsidRPr="00396D71" w:rsidRDefault="00CA79FD" w:rsidP="00EC5B5E">
      <w:pPr>
        <w:jc w:val="right"/>
        <w:outlineLvl w:val="0"/>
        <w:rPr>
          <w:rFonts w:ascii="Times New Roman" w:hAnsi="Times New Roman"/>
        </w:rPr>
      </w:pPr>
      <w:r w:rsidRPr="00396D71">
        <w:rPr>
          <w:rFonts w:ascii="Times New Roman" w:hAnsi="Times New Roman"/>
        </w:rPr>
        <w:t>сельского поселения Большое Микушкино</w:t>
      </w:r>
    </w:p>
    <w:p w:rsidR="00E40A7D" w:rsidRPr="00396D71" w:rsidRDefault="00E40A7D" w:rsidP="00EC5B5E">
      <w:pPr>
        <w:jc w:val="right"/>
        <w:outlineLvl w:val="0"/>
        <w:rPr>
          <w:rFonts w:ascii="Times New Roman" w:hAnsi="Times New Roman"/>
        </w:rPr>
      </w:pPr>
      <w:r w:rsidRPr="00396D71">
        <w:rPr>
          <w:rFonts w:ascii="Times New Roman" w:hAnsi="Times New Roman"/>
        </w:rPr>
        <w:t>муниципального района Исаклинский</w:t>
      </w:r>
    </w:p>
    <w:p w:rsidR="00CA79FD" w:rsidRPr="00396D71" w:rsidRDefault="00E40A7D" w:rsidP="00EC5B5E">
      <w:pPr>
        <w:tabs>
          <w:tab w:val="left" w:pos="5820"/>
          <w:tab w:val="right" w:pos="9355"/>
        </w:tabs>
        <w:outlineLvl w:val="0"/>
        <w:rPr>
          <w:rFonts w:ascii="Times New Roman" w:hAnsi="Times New Roman"/>
        </w:rPr>
      </w:pPr>
      <w:r w:rsidRPr="00396D71">
        <w:rPr>
          <w:rFonts w:ascii="Times New Roman" w:hAnsi="Times New Roman"/>
        </w:rPr>
        <w:tab/>
      </w:r>
      <w:r w:rsidR="00CA79FD" w:rsidRPr="00396D71">
        <w:rPr>
          <w:rFonts w:ascii="Times New Roman" w:hAnsi="Times New Roman"/>
        </w:rPr>
        <w:t>Самарской области</w:t>
      </w:r>
    </w:p>
    <w:p w:rsidR="00E40A7D" w:rsidRPr="00396D71" w:rsidRDefault="00E40A7D" w:rsidP="00CA79FD">
      <w:pPr>
        <w:tabs>
          <w:tab w:val="left" w:pos="5820"/>
          <w:tab w:val="right" w:pos="9355"/>
        </w:tabs>
        <w:jc w:val="right"/>
        <w:outlineLvl w:val="0"/>
        <w:rPr>
          <w:rFonts w:ascii="Times New Roman" w:hAnsi="Times New Roman"/>
          <w:u w:val="single"/>
        </w:rPr>
      </w:pPr>
      <w:r w:rsidRPr="00396D71">
        <w:rPr>
          <w:rFonts w:ascii="Times New Roman" w:hAnsi="Times New Roman"/>
        </w:rPr>
        <w:t xml:space="preserve">               от </w:t>
      </w:r>
      <w:r w:rsidR="00CA79FD" w:rsidRPr="00396D71">
        <w:rPr>
          <w:rFonts w:ascii="Times New Roman" w:hAnsi="Times New Roman"/>
          <w:u w:val="single"/>
        </w:rPr>
        <w:t>20.04.2021</w:t>
      </w:r>
      <w:r w:rsidRPr="00396D71">
        <w:rPr>
          <w:rFonts w:ascii="Times New Roman" w:hAnsi="Times New Roman"/>
          <w:u w:val="single"/>
        </w:rPr>
        <w:t xml:space="preserve"> г.</w:t>
      </w:r>
      <w:r w:rsidRPr="00396D71">
        <w:rPr>
          <w:rFonts w:ascii="Times New Roman" w:hAnsi="Times New Roman"/>
        </w:rPr>
        <w:t xml:space="preserve">  № </w:t>
      </w:r>
      <w:r w:rsidR="00CA79FD" w:rsidRPr="00396D71">
        <w:rPr>
          <w:rFonts w:ascii="Times New Roman" w:hAnsi="Times New Roman"/>
          <w:u w:val="single"/>
        </w:rPr>
        <w:t>51</w:t>
      </w:r>
    </w:p>
    <w:p w:rsidR="00E40A7D" w:rsidRDefault="00E40A7D" w:rsidP="00EC5B5E">
      <w:pPr>
        <w:jc w:val="center"/>
        <w:outlineLvl w:val="0"/>
        <w:rPr>
          <w:b/>
        </w:rPr>
      </w:pPr>
    </w:p>
    <w:p w:rsidR="00E40A7D" w:rsidRDefault="00B42C77" w:rsidP="00EC5B5E">
      <w:pPr>
        <w:jc w:val="center"/>
        <w:rPr>
          <w:rFonts w:ascii="Times New Roman" w:hAnsi="Times New Roman"/>
          <w:sz w:val="28"/>
          <w:szCs w:val="28"/>
        </w:rPr>
      </w:pPr>
      <w:r w:rsidRPr="00B42C77">
        <w:rPr>
          <w:noProof/>
        </w:rPr>
        <w:pict>
          <v:line id="_x0000_s1026" style="position:absolute;left:0;text-align:left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 w:rsidRPr="00B42C77">
        <w:rPr>
          <w:noProof/>
        </w:rPr>
        <w:pict>
          <v:line id="_x0000_s1027" style="position:absolute;left:0;text-align:left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 w:rsidR="00E40A7D">
        <w:rPr>
          <w:rFonts w:ascii="Times New Roman" w:hAnsi="Times New Roman"/>
          <w:sz w:val="28"/>
          <w:szCs w:val="28"/>
        </w:rPr>
        <w:t xml:space="preserve">Местные </w:t>
      </w:r>
      <w:r w:rsidR="00E40A7D" w:rsidRPr="008E0EC4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 w:rsidR="00E40A7D">
        <w:rPr>
          <w:rFonts w:ascii="Times New Roman" w:hAnsi="Times New Roman"/>
          <w:sz w:val="28"/>
          <w:szCs w:val="28"/>
        </w:rPr>
        <w:br/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  <w:r w:rsidR="00E40A7D">
        <w:rPr>
          <w:rFonts w:ascii="Times New Roman" w:hAnsi="Times New Roman"/>
          <w:sz w:val="28"/>
          <w:szCs w:val="28"/>
        </w:rPr>
        <w:t>муниципального района Исакли</w:t>
      </w:r>
      <w:r w:rsidR="00E40A7D">
        <w:rPr>
          <w:rFonts w:ascii="Times New Roman" w:hAnsi="Times New Roman"/>
          <w:sz w:val="28"/>
          <w:szCs w:val="28"/>
        </w:rPr>
        <w:t>н</w:t>
      </w:r>
      <w:r w:rsidR="00E40A7D">
        <w:rPr>
          <w:rFonts w:ascii="Times New Roman" w:hAnsi="Times New Roman"/>
          <w:sz w:val="28"/>
          <w:szCs w:val="28"/>
        </w:rPr>
        <w:t xml:space="preserve">ский </w:t>
      </w:r>
      <w:r w:rsidR="00E40A7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E40A7D" w:rsidRDefault="00E40A7D" w:rsidP="00EC5B5E">
      <w:pPr>
        <w:jc w:val="center"/>
        <w:rPr>
          <w:rFonts w:ascii="Times New Roman" w:hAnsi="Times New Roman"/>
          <w:sz w:val="28"/>
          <w:szCs w:val="28"/>
        </w:rPr>
      </w:pPr>
    </w:p>
    <w:p w:rsidR="00E40A7D" w:rsidRPr="008E0EC4" w:rsidRDefault="00E40A7D" w:rsidP="00EC5B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40A7D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5B4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Настоящие местные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  <w:r>
        <w:rPr>
          <w:rFonts w:ascii="Times New Roman" w:hAnsi="Times New Roman"/>
          <w:sz w:val="28"/>
          <w:szCs w:val="28"/>
        </w:rPr>
        <w:t>муниципального района Исаклинский  Самарской области (далее – местные нормативы) разработаны в соответствии с положениями статей 29.1 – 29.3 Градостроительного коде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 Российской Федерации, Законом Самарской области от 12 июля 2006 года 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ласти».</w:t>
      </w:r>
      <w:r w:rsidRPr="00F75B40">
        <w:rPr>
          <w:rFonts w:ascii="Times New Roman" w:hAnsi="Times New Roman"/>
          <w:sz w:val="28"/>
          <w:szCs w:val="28"/>
        </w:rPr>
        <w:t xml:space="preserve"> </w:t>
      </w:r>
    </w:p>
    <w:p w:rsidR="00E40A7D" w:rsidRPr="00F75B40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5B40">
        <w:rPr>
          <w:rFonts w:ascii="Times New Roman" w:hAnsi="Times New Roman"/>
          <w:sz w:val="28"/>
          <w:szCs w:val="28"/>
        </w:rPr>
        <w:t>Нормативы гра</w:t>
      </w:r>
      <w:r>
        <w:rPr>
          <w:rFonts w:ascii="Times New Roman" w:hAnsi="Times New Roman"/>
          <w:sz w:val="28"/>
          <w:szCs w:val="28"/>
        </w:rPr>
        <w:t xml:space="preserve">достроительного проектирования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  <w:r>
        <w:rPr>
          <w:rFonts w:ascii="Times New Roman" w:hAnsi="Times New Roman"/>
          <w:sz w:val="28"/>
          <w:szCs w:val="28"/>
        </w:rPr>
        <w:t>муниципального района Исаклинский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</w:t>
      </w:r>
      <w:r w:rsidRPr="00F75B40">
        <w:rPr>
          <w:rFonts w:ascii="Times New Roman" w:hAnsi="Times New Roman"/>
          <w:sz w:val="28"/>
          <w:szCs w:val="28"/>
        </w:rPr>
        <w:t>учитываются при подготовке схем территориального планирования, генеральн</w:t>
      </w:r>
      <w:r w:rsidR="00CA79FD">
        <w:rPr>
          <w:rFonts w:ascii="Times New Roman" w:hAnsi="Times New Roman"/>
          <w:sz w:val="28"/>
          <w:szCs w:val="28"/>
        </w:rPr>
        <w:t xml:space="preserve">ого плана сельского поселения, </w:t>
      </w:r>
      <w:r w:rsidRPr="00F75B40">
        <w:rPr>
          <w:rFonts w:ascii="Times New Roman" w:hAnsi="Times New Roman"/>
          <w:sz w:val="28"/>
          <w:szCs w:val="28"/>
        </w:rPr>
        <w:t xml:space="preserve"> а также документации по план</w:t>
      </w:r>
      <w:r w:rsidRPr="00F75B40">
        <w:rPr>
          <w:rFonts w:ascii="Times New Roman" w:hAnsi="Times New Roman"/>
          <w:sz w:val="28"/>
          <w:szCs w:val="28"/>
        </w:rPr>
        <w:t>и</w:t>
      </w:r>
      <w:r w:rsidRPr="00F75B40">
        <w:rPr>
          <w:rFonts w:ascii="Times New Roman" w:hAnsi="Times New Roman"/>
          <w:sz w:val="28"/>
          <w:szCs w:val="28"/>
        </w:rPr>
        <w:t>ровке территории.</w:t>
      </w:r>
    </w:p>
    <w:p w:rsidR="00E40A7D" w:rsidRPr="00F75B40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5B40">
        <w:rPr>
          <w:rFonts w:ascii="Times New Roman" w:hAnsi="Times New Roman"/>
          <w:sz w:val="28"/>
          <w:szCs w:val="28"/>
        </w:rPr>
        <w:t>2. Нормативы используются субъектами градостроительной де</w:t>
      </w:r>
      <w:r w:rsidRPr="00F75B40">
        <w:rPr>
          <w:rFonts w:ascii="Times New Roman" w:hAnsi="Times New Roman"/>
          <w:sz w:val="28"/>
          <w:szCs w:val="28"/>
        </w:rPr>
        <w:t>я</w:t>
      </w:r>
      <w:r w:rsidRPr="00F75B40">
        <w:rPr>
          <w:rFonts w:ascii="Times New Roman" w:hAnsi="Times New Roman"/>
          <w:sz w:val="28"/>
          <w:szCs w:val="28"/>
        </w:rPr>
        <w:t xml:space="preserve">тельности, осуществляющими свою деятельность на территории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75B40">
        <w:rPr>
          <w:rFonts w:ascii="Times New Roman" w:hAnsi="Times New Roman"/>
          <w:sz w:val="28"/>
          <w:szCs w:val="28"/>
        </w:rPr>
        <w:t xml:space="preserve"> независимо от их организационно-правовой формы.</w:t>
      </w:r>
    </w:p>
    <w:p w:rsidR="00E40A7D" w:rsidRPr="00F75B40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5B40">
        <w:rPr>
          <w:rFonts w:ascii="Times New Roman" w:hAnsi="Times New Roman"/>
          <w:sz w:val="28"/>
          <w:szCs w:val="28"/>
        </w:rPr>
        <w:t>3. Нормативы и вносимы</w:t>
      </w:r>
      <w:r>
        <w:rPr>
          <w:rFonts w:ascii="Times New Roman" w:hAnsi="Times New Roman"/>
          <w:sz w:val="28"/>
          <w:szCs w:val="28"/>
        </w:rPr>
        <w:t>е в них изменения утверждаются решением Собрания представителей</w:t>
      </w:r>
      <w:r w:rsidR="00CA79FD" w:rsidRPr="00CA79FD">
        <w:rPr>
          <w:rFonts w:ascii="Times New Roman" w:hAnsi="Times New Roman"/>
          <w:sz w:val="28"/>
          <w:szCs w:val="28"/>
        </w:rPr>
        <w:t xml:space="preserve"> </w:t>
      </w:r>
      <w:r w:rsidR="00CA79FD">
        <w:rPr>
          <w:rFonts w:ascii="Times New Roman" w:hAnsi="Times New Roman"/>
          <w:sz w:val="28"/>
          <w:szCs w:val="28"/>
        </w:rPr>
        <w:t>сельского поселения</w:t>
      </w:r>
      <w:r w:rsidRPr="00F75B40">
        <w:rPr>
          <w:rFonts w:ascii="Times New Roman" w:hAnsi="Times New Roman"/>
          <w:sz w:val="28"/>
          <w:szCs w:val="28"/>
        </w:rPr>
        <w:t>.</w:t>
      </w:r>
    </w:p>
    <w:p w:rsidR="00E40A7D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Pr="008E0EC4" w:rsidRDefault="00E40A7D" w:rsidP="00281120">
      <w:pPr>
        <w:rPr>
          <w:rFonts w:ascii="Times New Roman" w:hAnsi="Times New Roman"/>
          <w:sz w:val="28"/>
          <w:szCs w:val="28"/>
        </w:rPr>
        <w:sectPr w:rsidR="00E40A7D" w:rsidRPr="008E0EC4" w:rsidSect="00312F8E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0A7D" w:rsidRDefault="00E40A7D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D3CFB">
        <w:rPr>
          <w:rFonts w:ascii="Times New Roman" w:hAnsi="Times New Roman"/>
          <w:sz w:val="28"/>
          <w:szCs w:val="28"/>
        </w:rPr>
        <w:t xml:space="preserve">. Предельные значения расчетных показателей </w:t>
      </w:r>
      <w:r w:rsidRPr="005D3CFB">
        <w:rPr>
          <w:rFonts w:ascii="Times New Roman" w:hAnsi="Times New Roman"/>
          <w:sz w:val="28"/>
          <w:szCs w:val="28"/>
        </w:rPr>
        <w:br/>
        <w:t>минимально допустимого уровня обеспеченности объектами местного</w:t>
      </w:r>
      <w:r>
        <w:rPr>
          <w:rFonts w:ascii="Times New Roman" w:hAnsi="Times New Roman"/>
          <w:sz w:val="28"/>
          <w:szCs w:val="28"/>
        </w:rPr>
        <w:t xml:space="preserve"> значения населения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Большое Микушкино </w:t>
      </w: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9F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40A7D" w:rsidRDefault="00E40A7D" w:rsidP="005D3C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7"/>
        <w:gridCol w:w="2240"/>
        <w:gridCol w:w="28"/>
        <w:gridCol w:w="1417"/>
        <w:gridCol w:w="1440"/>
        <w:gridCol w:w="720"/>
        <w:gridCol w:w="30"/>
        <w:gridCol w:w="15"/>
        <w:gridCol w:w="63"/>
        <w:gridCol w:w="387"/>
        <w:gridCol w:w="240"/>
        <w:gridCol w:w="15"/>
        <w:gridCol w:w="30"/>
        <w:gridCol w:w="3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E40A7D" w:rsidRPr="00053BDC" w:rsidTr="00053BDC">
        <w:trPr>
          <w:trHeight w:val="34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123" w:type="dxa"/>
            <w:gridSpan w:val="1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23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вид до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тупности, единица измерения</w:t>
            </w:r>
          </w:p>
        </w:tc>
        <w:tc>
          <w:tcPr>
            <w:tcW w:w="4653" w:type="dxa"/>
            <w:gridSpan w:val="6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E40A7D" w:rsidRPr="00053BDC" w:rsidTr="00053BDC"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40A7D" w:rsidRPr="00053BDC" w:rsidTr="00053BDC">
        <w:trPr>
          <w:trHeight w:val="28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ность, ме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4616" w:type="dxa"/>
            <w:gridSpan w:val="5"/>
          </w:tcPr>
          <w:p w:rsidR="00E40A7D" w:rsidRPr="00053BDC" w:rsidRDefault="00E40A7D" w:rsidP="00BC0491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E40A7D" w:rsidRPr="00053BDC" w:rsidTr="00053BDC">
        <w:trPr>
          <w:trHeight w:val="24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ная досту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ность, 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4616" w:type="dxa"/>
            <w:gridSpan w:val="5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E40A7D" w:rsidRPr="00053BDC" w:rsidTr="00053BDC">
        <w:trPr>
          <w:trHeight w:val="25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30**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7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от учрежд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ы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2085" w:type="dxa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ных пунктах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40A7D" w:rsidRPr="00053BDC" w:rsidTr="00053BDC">
        <w:trPr>
          <w:trHeight w:val="102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ы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085" w:type="dxa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населенном пункте, являющимся адм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нистративным це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тром муниципальн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34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Спортивные сооруж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ния, предназначенные для организации и пр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ведения официальных физкультурно-оздоровительных и спортивных меропри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тий муниципального района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количество объектов на </w:t>
            </w:r>
            <w:r w:rsidR="00CA79FD">
              <w:rPr>
                <w:rFonts w:ascii="Times New Roman" w:hAnsi="Times New Roman"/>
                <w:sz w:val="20"/>
                <w:szCs w:val="20"/>
              </w:rPr>
              <w:t>сельское п</w:t>
            </w:r>
            <w:r w:rsidR="00CA79FD">
              <w:rPr>
                <w:rFonts w:ascii="Times New Roman" w:hAnsi="Times New Roman"/>
                <w:sz w:val="20"/>
                <w:szCs w:val="20"/>
              </w:rPr>
              <w:t>о</w:t>
            </w:r>
            <w:r w:rsidR="00CA79FD">
              <w:rPr>
                <w:rFonts w:ascii="Times New Roman" w:hAnsi="Times New Roman"/>
                <w:sz w:val="20"/>
                <w:szCs w:val="20"/>
              </w:rPr>
              <w:t>селение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51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й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085" w:type="dxa"/>
          </w:tcPr>
          <w:p w:rsidR="00E40A7D" w:rsidRPr="00053BDC" w:rsidRDefault="00E40A7D" w:rsidP="00E7678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населенном пункте, являющимся адм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нистративным це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тром муниципальн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39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39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E40A7D" w:rsidRPr="00053BDC" w:rsidTr="00053BDC">
        <w:trPr>
          <w:trHeight w:val="39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E40A7D" w:rsidRPr="00053BDC" w:rsidTr="00053BDC">
        <w:trPr>
          <w:trHeight w:val="30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  <w:r w:rsidR="00BC1DF0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количество объектов на </w:t>
            </w: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муниципал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межпоселенческие библиотеки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6E6D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сельские библиотеки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85" w:type="dxa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2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6B173B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лиотеки сельских 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(сельские ма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совые библиотеки)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чи человек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на каждую 1 тысячу насел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с филиалом в данном населе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109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человек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9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117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отдел внест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ционарного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9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тельских мест на 1 тысячу человек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свыше 2 до 5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4-5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свыше 5 до 10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4,5-5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3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701" w:type="dxa"/>
            <w:gridSpan w:val="4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тах, являющихся администр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тивными центрами муниц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</w:tr>
      <w:tr w:rsidR="00E40A7D" w:rsidRPr="00053BDC" w:rsidTr="00053BDC">
        <w:trPr>
          <w:trHeight w:val="34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E40A7D" w:rsidRPr="00053BDC" w:rsidTr="00053BDC">
        <w:trPr>
          <w:trHeight w:val="300"/>
        </w:trPr>
        <w:tc>
          <w:tcPr>
            <w:tcW w:w="527" w:type="dxa"/>
            <w:vMerge w:val="restart"/>
          </w:tcPr>
          <w:p w:rsidR="00E40A7D" w:rsidRPr="00053BDC" w:rsidRDefault="00BC1DF0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0" w:type="dxa"/>
            <w:gridSpan w:val="10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ляющихся администрати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ными центрами сельских 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1258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4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150-200 зрител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62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передвижная форма обслуж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F0" w:rsidRPr="00053BDC" w:rsidTr="00344211">
        <w:trPr>
          <w:trHeight w:val="2395"/>
        </w:trPr>
        <w:tc>
          <w:tcPr>
            <w:tcW w:w="527" w:type="dxa"/>
            <w:vMerge w:val="restart"/>
          </w:tcPr>
          <w:p w:rsidR="00BC1DF0" w:rsidRPr="00053BDC" w:rsidRDefault="00BC1DF0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BC1DF0" w:rsidRPr="00053BDC" w:rsidRDefault="00BC1DF0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45" w:type="dxa"/>
            <w:gridSpan w:val="2"/>
            <w:vMerge w:val="restart"/>
          </w:tcPr>
          <w:p w:rsidR="00BC1DF0" w:rsidRPr="00053BDC" w:rsidRDefault="00BC1DF0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ное образов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970" w:type="dxa"/>
            <w:gridSpan w:val="10"/>
          </w:tcPr>
          <w:p w:rsidR="00BC1DF0" w:rsidRPr="00053BDC" w:rsidRDefault="00BC1DF0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1DF0" w:rsidRPr="00053BDC" w:rsidRDefault="00BC1DF0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BC1DF0" w:rsidRPr="00053BDC" w:rsidRDefault="00BC1DF0" w:rsidP="00620EB6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BC1DF0" w:rsidRPr="00053BDC" w:rsidRDefault="00BC1DF0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BC1DF0" w:rsidRPr="00053BDC" w:rsidRDefault="00BC1DF0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D3F80">
        <w:trPr>
          <w:trHeight w:val="294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  <w:r w:rsidR="00BC1DF0">
              <w:rPr>
                <w:rFonts w:ascii="Times New Roman" w:hAnsi="Times New Roman"/>
                <w:sz w:val="20"/>
                <w:szCs w:val="20"/>
              </w:rPr>
              <w:t>3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6B173B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квадратный метр на 1 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ловека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E40A7D" w:rsidRPr="00053BDC" w:rsidTr="00053BDC">
        <w:trPr>
          <w:trHeight w:val="27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  <w:r w:rsidR="00BC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 чи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лом жителей от 10 тысяч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 до 100 тысяч человек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24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 чи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лом жителей более 100 тысяч человек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0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E40A7D" w:rsidRPr="00053BDC" w:rsidTr="00053BDC">
        <w:trPr>
          <w:trHeight w:val="865"/>
        </w:trPr>
        <w:tc>
          <w:tcPr>
            <w:tcW w:w="527" w:type="dxa"/>
            <w:vMerge w:val="restart"/>
          </w:tcPr>
          <w:p w:rsidR="00E40A7D" w:rsidRPr="00053BDC" w:rsidRDefault="00BC1DF0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9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ы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 w:val="restart"/>
          </w:tcPr>
          <w:p w:rsidR="00E40A7D" w:rsidRPr="00053BDC" w:rsidRDefault="00BC1DF0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уровень обе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печенности в процентах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0A7D" w:rsidRPr="00053BDC" w:rsidTr="00053BDC">
        <w:trPr>
          <w:trHeight w:val="44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053BDC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53BDC">
              <w:t>жилые районы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53BDC">
              <w:t>25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учреждений торговли и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щественного питания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40A7D" w:rsidRPr="00053BDC" w:rsidTr="00053BDC">
        <w:trPr>
          <w:trHeight w:val="117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53BDC">
              <w:t>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прочие учрежд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 и предприятия обслуж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вания населения</w:t>
            </w:r>
          </w:p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40A7D" w:rsidRPr="00053BDC" w:rsidTr="00053BDC">
        <w:trPr>
          <w:trHeight w:val="6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 w:rsidRPr="00053BDC">
              <w:t>25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 w:rsidRPr="00053BDC">
              <w:t>15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парки, на выста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ки и стадионы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40A7D" w:rsidRPr="00053BDC" w:rsidTr="00053BDC">
        <w:trPr>
          <w:trHeight w:val="275"/>
        </w:trPr>
        <w:tc>
          <w:tcPr>
            <w:tcW w:w="527" w:type="dxa"/>
          </w:tcPr>
          <w:p w:rsidR="00E40A7D" w:rsidRPr="00053BDC" w:rsidRDefault="00BC1DF0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метры сети на квадратный километр территории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 w:rsidRPr="00053BDC">
              <w:t>2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 остан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вок общественн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40A7D" w:rsidRPr="00053BDC" w:rsidTr="00053BDC">
        <w:trPr>
          <w:trHeight w:val="27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E40A7D" w:rsidRPr="00053BDC" w:rsidTr="00053BDC">
        <w:trPr>
          <w:trHeight w:val="560"/>
        </w:trPr>
        <w:tc>
          <w:tcPr>
            <w:tcW w:w="527" w:type="dxa"/>
            <w:vMerge w:val="restart"/>
          </w:tcPr>
          <w:p w:rsidR="00E40A7D" w:rsidRPr="00053BDC" w:rsidRDefault="00BC1DF0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нормы нако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ления быт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E40A7D" w:rsidRDefault="00E40A7D" w:rsidP="00053BDC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51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3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 w:rsidRPr="001A5055">
              <w:t>Жидкие из выгребов (при отсутствии кан</w:t>
            </w:r>
            <w:r w:rsidRPr="001A5055">
              <w:t>а</w:t>
            </w:r>
            <w:r w:rsidRPr="001A5055">
              <w:t>лизации)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053BDC">
            <w:pPr>
              <w:pStyle w:val="aa"/>
              <w:jc w:val="left"/>
            </w:pPr>
            <w:r w:rsidRPr="001A5055">
              <w:t>Смет с 1 м</w:t>
            </w:r>
            <w:r w:rsidRPr="00053BDC">
              <w:rPr>
                <w:vertAlign w:val="superscript"/>
              </w:rPr>
              <w:t>2</w:t>
            </w:r>
            <w:r w:rsidRPr="001A5055">
              <w:t xml:space="preserve"> твердых покрытий улиц, пл</w:t>
            </w:r>
            <w:r w:rsidRPr="001A5055">
              <w:t>о</w:t>
            </w:r>
            <w:r w:rsidRPr="001A5055">
              <w:t>щадей и парков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 w:rsidRPr="001A5055">
              <w:t>Примечание: Нормы накопления крупногабари</w:t>
            </w:r>
            <w:r w:rsidRPr="001A5055">
              <w:t>т</w:t>
            </w:r>
            <w:r w:rsidRPr="001A5055">
              <w:t>ных бытовых отходов следует принимать в размере 5% в составе приведенных значений твердых быт</w:t>
            </w:r>
            <w:r w:rsidRPr="001A5055">
              <w:t>о</w:t>
            </w:r>
            <w:r w:rsidRPr="001A5055">
              <w:t>вых отходов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7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E40A7D" w:rsidRPr="00053BDC" w:rsidTr="00053BDC">
        <w:trPr>
          <w:trHeight w:val="2070"/>
        </w:trPr>
        <w:tc>
          <w:tcPr>
            <w:tcW w:w="527" w:type="dxa"/>
            <w:vMerge w:val="restart"/>
          </w:tcPr>
          <w:p w:rsidR="00E40A7D" w:rsidRPr="00053BDC" w:rsidRDefault="00BC1DF0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требление, кВТ ч/год на 1 чел., 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>
              <w:t>Степень благоустро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>
              <w:t>Электр</w:t>
            </w:r>
            <w:r>
              <w:t>о</w:t>
            </w: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ление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053BDC">
            <w:pPr>
              <w:pStyle w:val="aa"/>
              <w:ind w:firstLine="0"/>
              <w:jc w:val="left"/>
            </w:pPr>
            <w:r>
              <w:t>Использование максимума эле</w:t>
            </w:r>
            <w:r>
              <w:t>к</w:t>
            </w:r>
            <w:r>
              <w:t>трической н</w:t>
            </w:r>
            <w:r>
              <w:t>а</w:t>
            </w:r>
            <w:r>
              <w:t>грузки</w:t>
            </w:r>
          </w:p>
        </w:tc>
        <w:tc>
          <w:tcPr>
            <w:tcW w:w="1843" w:type="dxa"/>
            <w:gridSpan w:val="3"/>
            <w:vMerge w:val="restart"/>
          </w:tcPr>
          <w:p w:rsidR="00E40A7D" w:rsidRDefault="00E40A7D" w:rsidP="00053BDC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6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Default="00E40A7D" w:rsidP="00053BDC">
            <w:pPr>
              <w:pStyle w:val="aa"/>
              <w:jc w:val="left"/>
            </w:pPr>
            <w: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1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735" w:type="dxa"/>
            <w:gridSpan w:val="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738" w:type="dxa"/>
            <w:gridSpan w:val="6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5200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 кондиционерами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38" w:type="dxa"/>
            <w:gridSpan w:val="6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81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Города и населенные пункты городского типа, об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рудованные стационарными электроплитами </w:t>
            </w:r>
            <w:r w:rsidRPr="00053BDC">
              <w:rPr>
                <w:rFonts w:ascii="Times New Roman" w:hAnsi="Times New Roman"/>
                <w:sz w:val="20"/>
                <w:szCs w:val="20"/>
              </w:rPr>
              <w:br/>
              <w:t>(100% охвата)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без кондиционеров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 кондиционерами</w:t>
            </w:r>
          </w:p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73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троплитами</w:t>
            </w: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оборудованные ст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ционарными электр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плитами (100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та)</w:t>
            </w: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153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r w:rsidR="00BC1DF0">
              <w:rPr>
                <w:rFonts w:ascii="Times New Roman" w:hAnsi="Times New Roman"/>
                <w:sz w:val="20"/>
                <w:szCs w:val="20"/>
              </w:rPr>
              <w:t>0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венно-питьевые 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жды (без уч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 расходов на полив 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леных наса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дений) терр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торий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9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200, со снижен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9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для зданий с централизова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ным горячим водоснабжением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9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 w:val="restart"/>
          </w:tcPr>
          <w:p w:rsidR="00E40A7D" w:rsidRPr="00053BDC" w:rsidRDefault="00BC1DF0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ное водоотв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дение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точным расходам холодной и горячей воды на х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31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верхностного стока, куб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0"/>
        </w:trPr>
        <w:tc>
          <w:tcPr>
            <w:tcW w:w="527" w:type="dxa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C1DF0">
              <w:rPr>
                <w:rFonts w:ascii="Times New Roman" w:hAnsi="Times New Roman"/>
                <w:sz w:val="20"/>
                <w:szCs w:val="20"/>
              </w:rPr>
              <w:t>2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ные показат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 потребл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 газа, 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бические метры в сутки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E40A7D" w:rsidRPr="00053BDC" w:rsidRDefault="00E40A7D" w:rsidP="00053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51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BC1DF0">
              <w:rPr>
                <w:rFonts w:ascii="Times New Roman" w:hAnsi="Times New Roman"/>
                <w:sz w:val="20"/>
                <w:szCs w:val="20"/>
              </w:rPr>
              <w:t>3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удельный расход тепл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вой энергии системой отопления здания, кВт ч/кв.м,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E40A7D" w:rsidRPr="00053BDC" w:rsidRDefault="00E40A7D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518" w:type="dxa"/>
            <w:gridSpan w:val="1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6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6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цинские организации</w:t>
            </w: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Дошкольные образ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вательные организ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5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E40A7D" w:rsidRPr="00053BDC" w:rsidTr="00053BDC">
        <w:trPr>
          <w:trHeight w:val="630"/>
        </w:trPr>
        <w:tc>
          <w:tcPr>
            <w:tcW w:w="534" w:type="dxa"/>
            <w:gridSpan w:val="2"/>
            <w:vMerge w:val="restart"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r w:rsidR="00BC1DF0">
              <w:rPr>
                <w:rFonts w:ascii="Times New Roman" w:hAnsi="Times New Roman"/>
                <w:sz w:val="20"/>
                <w:szCs w:val="20"/>
              </w:rPr>
              <w:t>4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ронения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275"/>
        </w:trPr>
        <w:tc>
          <w:tcPr>
            <w:tcW w:w="534" w:type="dxa"/>
            <w:gridSpan w:val="2"/>
            <w:vMerge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кладбища урновых захорон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ний после кремации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5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E40A7D" w:rsidRPr="00053BDC" w:rsidTr="00053BDC">
        <w:trPr>
          <w:trHeight w:val="945"/>
        </w:trPr>
        <w:tc>
          <w:tcPr>
            <w:tcW w:w="534" w:type="dxa"/>
            <w:gridSpan w:val="2"/>
            <w:vMerge w:val="restart"/>
          </w:tcPr>
          <w:p w:rsidR="00E40A7D" w:rsidRPr="00053BDC" w:rsidRDefault="00BC1DF0" w:rsidP="00934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40A7D"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городах и населенных пун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тах, являющихся администр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тивными центрами муниц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43" w:type="dxa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650"/>
        </w:trPr>
        <w:tc>
          <w:tcPr>
            <w:tcW w:w="534" w:type="dxa"/>
            <w:gridSpan w:val="2"/>
            <w:vMerge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</w:tr>
    </w:tbl>
    <w:p w:rsidR="00E40A7D" w:rsidRDefault="00E40A7D">
      <w:pPr>
        <w:rPr>
          <w:rFonts w:ascii="Times New Roman" w:hAnsi="Times New Roman"/>
        </w:rPr>
      </w:pPr>
    </w:p>
    <w:p w:rsidR="00E40A7D" w:rsidRDefault="00E40A7D">
      <w:pPr>
        <w:rPr>
          <w:rFonts w:ascii="Times New Roman" w:hAnsi="Times New Roman"/>
        </w:rPr>
        <w:sectPr w:rsidR="00E40A7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0A7D" w:rsidRPr="00C37EE5" w:rsidRDefault="00E40A7D" w:rsidP="003B6D14">
      <w:pPr>
        <w:jc w:val="center"/>
        <w:rPr>
          <w:rFonts w:ascii="Times New Roman" w:hAnsi="Times New Roman"/>
        </w:rPr>
      </w:pPr>
    </w:p>
    <w:sectPr w:rsidR="00E40A7D" w:rsidRPr="00C37EE5" w:rsidSect="003B6D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B0" w:rsidRDefault="00145BB0" w:rsidP="00404850">
      <w:r>
        <w:separator/>
      </w:r>
    </w:p>
  </w:endnote>
  <w:endnote w:type="continuationSeparator" w:id="1">
    <w:p w:rsidR="00145BB0" w:rsidRDefault="00145BB0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B0" w:rsidRDefault="00145BB0" w:rsidP="00404850">
      <w:r>
        <w:separator/>
      </w:r>
    </w:p>
  </w:footnote>
  <w:footnote w:type="continuationSeparator" w:id="1">
    <w:p w:rsidR="00145BB0" w:rsidRDefault="00145BB0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FD" w:rsidRDefault="00B42C77" w:rsidP="008F1D6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A79F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A79FD" w:rsidRDefault="00CA79F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FD" w:rsidRPr="00312F8E" w:rsidRDefault="00B42C77" w:rsidP="008F1D6C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CA79FD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396D71">
      <w:rPr>
        <w:rStyle w:val="af4"/>
        <w:rFonts w:ascii="Times New Roman" w:hAnsi="Times New Roman"/>
        <w:noProof/>
      </w:rPr>
      <w:t>2</w:t>
    </w:r>
    <w:r w:rsidRPr="00312F8E">
      <w:rPr>
        <w:rStyle w:val="af4"/>
        <w:rFonts w:ascii="Times New Roman" w:hAnsi="Times New Roman"/>
      </w:rPr>
      <w:fldChar w:fldCharType="end"/>
    </w:r>
  </w:p>
  <w:p w:rsidR="00CA79FD" w:rsidRDefault="00CA79F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20"/>
    <w:rsid w:val="00014E01"/>
    <w:rsid w:val="000177AB"/>
    <w:rsid w:val="00020F63"/>
    <w:rsid w:val="00023E78"/>
    <w:rsid w:val="00045C1D"/>
    <w:rsid w:val="00053BDC"/>
    <w:rsid w:val="00065441"/>
    <w:rsid w:val="0007249C"/>
    <w:rsid w:val="00074768"/>
    <w:rsid w:val="000761DC"/>
    <w:rsid w:val="000A11F3"/>
    <w:rsid w:val="000A1D28"/>
    <w:rsid w:val="000B583B"/>
    <w:rsid w:val="000C392A"/>
    <w:rsid w:val="000D3F80"/>
    <w:rsid w:val="000E528A"/>
    <w:rsid w:val="00137844"/>
    <w:rsid w:val="00145BB0"/>
    <w:rsid w:val="00147CF0"/>
    <w:rsid w:val="001550AA"/>
    <w:rsid w:val="00167636"/>
    <w:rsid w:val="001821CD"/>
    <w:rsid w:val="00190399"/>
    <w:rsid w:val="00193D73"/>
    <w:rsid w:val="0019658D"/>
    <w:rsid w:val="001A5055"/>
    <w:rsid w:val="001C6EED"/>
    <w:rsid w:val="001D45B4"/>
    <w:rsid w:val="001E0E75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94127"/>
    <w:rsid w:val="002B5076"/>
    <w:rsid w:val="002D2068"/>
    <w:rsid w:val="002F0347"/>
    <w:rsid w:val="002F5CAF"/>
    <w:rsid w:val="00301554"/>
    <w:rsid w:val="0030453C"/>
    <w:rsid w:val="00305B1B"/>
    <w:rsid w:val="00312255"/>
    <w:rsid w:val="00312F8E"/>
    <w:rsid w:val="00320E7D"/>
    <w:rsid w:val="00324947"/>
    <w:rsid w:val="00336EAC"/>
    <w:rsid w:val="00340F0E"/>
    <w:rsid w:val="003827DB"/>
    <w:rsid w:val="003937C5"/>
    <w:rsid w:val="00396D71"/>
    <w:rsid w:val="00397F12"/>
    <w:rsid w:val="003B6D14"/>
    <w:rsid w:val="003D14BE"/>
    <w:rsid w:val="003D5324"/>
    <w:rsid w:val="003E1115"/>
    <w:rsid w:val="003E379D"/>
    <w:rsid w:val="003E6D71"/>
    <w:rsid w:val="003F2CAE"/>
    <w:rsid w:val="00402040"/>
    <w:rsid w:val="0040413A"/>
    <w:rsid w:val="00404850"/>
    <w:rsid w:val="00405B9C"/>
    <w:rsid w:val="0042130A"/>
    <w:rsid w:val="00425E0D"/>
    <w:rsid w:val="00436132"/>
    <w:rsid w:val="004504CB"/>
    <w:rsid w:val="004514D1"/>
    <w:rsid w:val="004624DA"/>
    <w:rsid w:val="00464879"/>
    <w:rsid w:val="00467121"/>
    <w:rsid w:val="00473D92"/>
    <w:rsid w:val="00477674"/>
    <w:rsid w:val="0048303C"/>
    <w:rsid w:val="00485C43"/>
    <w:rsid w:val="004E3C6C"/>
    <w:rsid w:val="004E67F5"/>
    <w:rsid w:val="00524A96"/>
    <w:rsid w:val="00547FCA"/>
    <w:rsid w:val="00554004"/>
    <w:rsid w:val="00554427"/>
    <w:rsid w:val="005616FF"/>
    <w:rsid w:val="00570D29"/>
    <w:rsid w:val="005714EE"/>
    <w:rsid w:val="00573E7D"/>
    <w:rsid w:val="00574896"/>
    <w:rsid w:val="00581E22"/>
    <w:rsid w:val="00591085"/>
    <w:rsid w:val="005C424D"/>
    <w:rsid w:val="005C4B12"/>
    <w:rsid w:val="005D19DB"/>
    <w:rsid w:val="005D3CFB"/>
    <w:rsid w:val="005E6A60"/>
    <w:rsid w:val="005F2A97"/>
    <w:rsid w:val="00620EB6"/>
    <w:rsid w:val="00621399"/>
    <w:rsid w:val="00634BAA"/>
    <w:rsid w:val="0064225B"/>
    <w:rsid w:val="00644AE5"/>
    <w:rsid w:val="00654091"/>
    <w:rsid w:val="00661BE8"/>
    <w:rsid w:val="00664275"/>
    <w:rsid w:val="00672CE2"/>
    <w:rsid w:val="00686266"/>
    <w:rsid w:val="00694861"/>
    <w:rsid w:val="006A0AAD"/>
    <w:rsid w:val="006B0054"/>
    <w:rsid w:val="006B173B"/>
    <w:rsid w:val="006B4812"/>
    <w:rsid w:val="006E560D"/>
    <w:rsid w:val="006E66E0"/>
    <w:rsid w:val="006E6DE8"/>
    <w:rsid w:val="006F09F6"/>
    <w:rsid w:val="006F16D3"/>
    <w:rsid w:val="006F732C"/>
    <w:rsid w:val="00705D5C"/>
    <w:rsid w:val="00715FBD"/>
    <w:rsid w:val="00720732"/>
    <w:rsid w:val="00725E15"/>
    <w:rsid w:val="007263B4"/>
    <w:rsid w:val="007434DD"/>
    <w:rsid w:val="00746682"/>
    <w:rsid w:val="00765BFE"/>
    <w:rsid w:val="0078548B"/>
    <w:rsid w:val="00795D59"/>
    <w:rsid w:val="007A1329"/>
    <w:rsid w:val="007C63CF"/>
    <w:rsid w:val="007D1141"/>
    <w:rsid w:val="007D1FC2"/>
    <w:rsid w:val="007D2627"/>
    <w:rsid w:val="00801770"/>
    <w:rsid w:val="0081247D"/>
    <w:rsid w:val="00870F01"/>
    <w:rsid w:val="00873B4E"/>
    <w:rsid w:val="008837AA"/>
    <w:rsid w:val="00887E23"/>
    <w:rsid w:val="008A4A56"/>
    <w:rsid w:val="008A7DA0"/>
    <w:rsid w:val="008C682E"/>
    <w:rsid w:val="008C79DD"/>
    <w:rsid w:val="008E0EC4"/>
    <w:rsid w:val="008E18EE"/>
    <w:rsid w:val="008E4027"/>
    <w:rsid w:val="008F1D6C"/>
    <w:rsid w:val="00912453"/>
    <w:rsid w:val="00931677"/>
    <w:rsid w:val="0093494C"/>
    <w:rsid w:val="00940119"/>
    <w:rsid w:val="00944739"/>
    <w:rsid w:val="0094773C"/>
    <w:rsid w:val="00954059"/>
    <w:rsid w:val="00966E0A"/>
    <w:rsid w:val="00981DD4"/>
    <w:rsid w:val="0099157D"/>
    <w:rsid w:val="009B3BD9"/>
    <w:rsid w:val="009C1A46"/>
    <w:rsid w:val="009D646C"/>
    <w:rsid w:val="00A01347"/>
    <w:rsid w:val="00A07ECD"/>
    <w:rsid w:val="00A15733"/>
    <w:rsid w:val="00A22300"/>
    <w:rsid w:val="00A41D67"/>
    <w:rsid w:val="00A6619E"/>
    <w:rsid w:val="00A72538"/>
    <w:rsid w:val="00A73878"/>
    <w:rsid w:val="00A76471"/>
    <w:rsid w:val="00A768B8"/>
    <w:rsid w:val="00A84A43"/>
    <w:rsid w:val="00A863F8"/>
    <w:rsid w:val="00AB2CA4"/>
    <w:rsid w:val="00AB739E"/>
    <w:rsid w:val="00AF3BAC"/>
    <w:rsid w:val="00B029E3"/>
    <w:rsid w:val="00B32F8A"/>
    <w:rsid w:val="00B42C77"/>
    <w:rsid w:val="00B44D8A"/>
    <w:rsid w:val="00B5688D"/>
    <w:rsid w:val="00B9382D"/>
    <w:rsid w:val="00BA60EA"/>
    <w:rsid w:val="00BB3A8A"/>
    <w:rsid w:val="00BC0491"/>
    <w:rsid w:val="00BC1DF0"/>
    <w:rsid w:val="00C01852"/>
    <w:rsid w:val="00C035BB"/>
    <w:rsid w:val="00C21CEE"/>
    <w:rsid w:val="00C37EE5"/>
    <w:rsid w:val="00C9117A"/>
    <w:rsid w:val="00C914C9"/>
    <w:rsid w:val="00CA1B69"/>
    <w:rsid w:val="00CA4523"/>
    <w:rsid w:val="00CA79FD"/>
    <w:rsid w:val="00CB7D1B"/>
    <w:rsid w:val="00CC1158"/>
    <w:rsid w:val="00CC277D"/>
    <w:rsid w:val="00CC2E1D"/>
    <w:rsid w:val="00CC3410"/>
    <w:rsid w:val="00CC7EB0"/>
    <w:rsid w:val="00CD7642"/>
    <w:rsid w:val="00CF56C1"/>
    <w:rsid w:val="00D00B1E"/>
    <w:rsid w:val="00D0710F"/>
    <w:rsid w:val="00D079E1"/>
    <w:rsid w:val="00D164D7"/>
    <w:rsid w:val="00D20200"/>
    <w:rsid w:val="00D2083D"/>
    <w:rsid w:val="00D21EB1"/>
    <w:rsid w:val="00D32CEC"/>
    <w:rsid w:val="00D372EF"/>
    <w:rsid w:val="00D7052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B3F94"/>
    <w:rsid w:val="00DD3664"/>
    <w:rsid w:val="00E017BD"/>
    <w:rsid w:val="00E120A8"/>
    <w:rsid w:val="00E35ED1"/>
    <w:rsid w:val="00E40A7D"/>
    <w:rsid w:val="00E4711D"/>
    <w:rsid w:val="00E76789"/>
    <w:rsid w:val="00E8011D"/>
    <w:rsid w:val="00E864BB"/>
    <w:rsid w:val="00E93220"/>
    <w:rsid w:val="00E96F63"/>
    <w:rsid w:val="00EB3DE8"/>
    <w:rsid w:val="00EC5B5E"/>
    <w:rsid w:val="00EE064A"/>
    <w:rsid w:val="00EE136F"/>
    <w:rsid w:val="00EE1C71"/>
    <w:rsid w:val="00EE2CF1"/>
    <w:rsid w:val="00EF7880"/>
    <w:rsid w:val="00F042A5"/>
    <w:rsid w:val="00F14C20"/>
    <w:rsid w:val="00F50EBD"/>
    <w:rsid w:val="00F51030"/>
    <w:rsid w:val="00F55BEA"/>
    <w:rsid w:val="00F57DDC"/>
    <w:rsid w:val="00F75B40"/>
    <w:rsid w:val="00F8348C"/>
    <w:rsid w:val="00F97972"/>
    <w:rsid w:val="00FA169A"/>
    <w:rsid w:val="00FB4E2B"/>
    <w:rsid w:val="00FB6F7A"/>
    <w:rsid w:val="00FC0F62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0B58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sz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Times New Roman"/>
      <w:sz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Body Text"/>
    <w:basedOn w:val="a"/>
    <w:link w:val="af8"/>
    <w:uiPriority w:val="99"/>
    <w:rsid w:val="00EC5B5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A6619E"/>
    <w:rPr>
      <w:rFonts w:cs="Times New Roman"/>
      <w:sz w:val="24"/>
    </w:rPr>
  </w:style>
  <w:style w:type="paragraph" w:styleId="af9">
    <w:name w:val="caption"/>
    <w:basedOn w:val="a"/>
    <w:next w:val="a"/>
    <w:uiPriority w:val="99"/>
    <w:qFormat/>
    <w:locked/>
    <w:rsid w:val="00EC5B5E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6</cp:revision>
  <cp:lastPrinted>2017-12-15T06:36:00Z</cp:lastPrinted>
  <dcterms:created xsi:type="dcterms:W3CDTF">2021-04-20T02:18:00Z</dcterms:created>
  <dcterms:modified xsi:type="dcterms:W3CDTF">2021-04-21T04:08:00Z</dcterms:modified>
</cp:coreProperties>
</file>