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C" w:rsidRPr="00DA431C" w:rsidRDefault="00DA431C" w:rsidP="00C70F2B">
      <w:pPr>
        <w:pStyle w:val="ConsPlusTitle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6A2280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ГОНЧАРОВ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>СКОГО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</w:t>
      </w:r>
      <w:r w:rsidR="00C70F2B">
        <w:rPr>
          <w:rFonts w:eastAsia="Arial" w:cs="Arial"/>
          <w:b w:val="0"/>
          <w:bCs w:val="0"/>
          <w:u w:val="single"/>
        </w:rPr>
        <w:t xml:space="preserve">23 января 2020 </w:t>
      </w:r>
      <w:r w:rsidRPr="00DA431C">
        <w:rPr>
          <w:rFonts w:eastAsia="Arial" w:cs="Arial"/>
          <w:b w:val="0"/>
          <w:bCs w:val="0"/>
          <w:u w:val="single"/>
        </w:rPr>
        <w:t>года №</w:t>
      </w:r>
      <w:r w:rsidR="00C70F2B">
        <w:rPr>
          <w:rFonts w:eastAsia="Arial" w:cs="Arial"/>
          <w:b w:val="0"/>
          <w:bCs w:val="0"/>
          <w:u w:val="single"/>
        </w:rPr>
        <w:t xml:space="preserve"> 2</w:t>
      </w:r>
      <w:r w:rsidRPr="00DA431C">
        <w:rPr>
          <w:rFonts w:eastAsia="Arial" w:cs="Arial"/>
          <w:b w:val="0"/>
          <w:bCs w:val="0"/>
          <w:u w:val="single"/>
        </w:rPr>
        <w:t xml:space="preserve">   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село </w:t>
      </w:r>
      <w:r w:rsidR="006A2280">
        <w:rPr>
          <w:rFonts w:eastAsia="Arial" w:cs="Arial"/>
          <w:b w:val="0"/>
          <w:bCs w:val="0"/>
        </w:rPr>
        <w:t>Гончаров</w:t>
      </w:r>
      <w:r w:rsidR="00F4130E" w:rsidRPr="00DA431C">
        <w:rPr>
          <w:rFonts w:eastAsia="Arial" w:cs="Arial"/>
          <w:b w:val="0"/>
          <w:bCs w:val="0"/>
        </w:rPr>
        <w:t>ка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proofErr w:type="spellStart"/>
      <w:r w:rsidR="006A2280">
        <w:rPr>
          <w:rFonts w:eastAsia="Arial" w:cs="Arial"/>
          <w:b w:val="0"/>
          <w:bCs w:val="0"/>
        </w:rPr>
        <w:t>Гончаров</w:t>
      </w:r>
      <w:r w:rsidRPr="00DA431C">
        <w:rPr>
          <w:rFonts w:eastAsia="Arial" w:cs="Arial"/>
          <w:b w:val="0"/>
          <w:bCs w:val="0"/>
        </w:rPr>
        <w:t>ского</w:t>
      </w:r>
      <w:proofErr w:type="spellEnd"/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F4130E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>сельского поселения от 2</w:t>
      </w:r>
      <w:r w:rsidR="006F3C8F">
        <w:rPr>
          <w:rFonts w:eastAsia="Arial" w:cs="Arial"/>
          <w:b w:val="0"/>
          <w:bCs w:val="0"/>
        </w:rPr>
        <w:t>9</w:t>
      </w:r>
      <w:r w:rsidRPr="00DA431C">
        <w:rPr>
          <w:rFonts w:eastAsia="Arial" w:cs="Arial"/>
          <w:b w:val="0"/>
          <w:bCs w:val="0"/>
        </w:rPr>
        <w:t>.12.2017г. № 31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6A2280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Гончаров</w:t>
      </w:r>
      <w:r w:rsidR="00E91853" w:rsidRPr="00DA431C">
        <w:rPr>
          <w:rFonts w:ascii="Times New Roman" w:hAnsi="Times New Roman" w:cs="Arial"/>
          <w:sz w:val="24"/>
          <w:szCs w:val="24"/>
        </w:rPr>
        <w:t>ского</w:t>
      </w:r>
      <w:proofErr w:type="spellEnd"/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6A2280">
        <w:rPr>
          <w:rFonts w:cs="Arial"/>
          <w:szCs w:val="24"/>
        </w:rPr>
        <w:t>Гончаров</w:t>
      </w:r>
      <w:r w:rsidRPr="00DA431C">
        <w:rPr>
          <w:rFonts w:cs="Arial"/>
          <w:szCs w:val="24"/>
        </w:rPr>
        <w:t>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proofErr w:type="spellStart"/>
      <w:r w:rsidR="006A2280">
        <w:rPr>
          <w:rFonts w:eastAsia="Arial" w:cs="Arial"/>
          <w:b w:val="0"/>
          <w:bCs w:val="0"/>
        </w:rPr>
        <w:t>Гончаров</w:t>
      </w:r>
      <w:r w:rsidRPr="00DA431C">
        <w:rPr>
          <w:rFonts w:eastAsia="Arial" w:cs="Arial"/>
          <w:b w:val="0"/>
          <w:bCs w:val="0"/>
        </w:rPr>
        <w:t>ского</w:t>
      </w:r>
      <w:proofErr w:type="spellEnd"/>
      <w:r w:rsidR="00F4130E" w:rsidRPr="00DA431C">
        <w:rPr>
          <w:rFonts w:eastAsia="Arial" w:cs="Arial"/>
          <w:b w:val="0"/>
          <w:bCs w:val="0"/>
        </w:rPr>
        <w:t xml:space="preserve"> сельского поселения от 2</w:t>
      </w:r>
      <w:r w:rsidR="006F3C8F">
        <w:rPr>
          <w:rFonts w:eastAsia="Arial" w:cs="Arial"/>
          <w:b w:val="0"/>
          <w:bCs w:val="0"/>
        </w:rPr>
        <w:t>9</w:t>
      </w:r>
      <w:r w:rsidR="00F4130E" w:rsidRPr="00DA431C">
        <w:rPr>
          <w:rFonts w:eastAsia="Arial" w:cs="Arial"/>
          <w:b w:val="0"/>
          <w:bCs w:val="0"/>
        </w:rPr>
        <w:t>.12.2017 г. № 31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proofErr w:type="spellStart"/>
      <w:r w:rsidR="006A2280">
        <w:rPr>
          <w:rFonts w:cs="Arial"/>
          <w:b w:val="0"/>
        </w:rPr>
        <w:t>Гончаров</w:t>
      </w:r>
      <w:r w:rsidRPr="00DA431C">
        <w:rPr>
          <w:rFonts w:cs="Arial"/>
          <w:b w:val="0"/>
        </w:rPr>
        <w:t>ского</w:t>
      </w:r>
      <w:proofErr w:type="spellEnd"/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</w:t>
      </w:r>
      <w:r w:rsidRPr="00DA431C">
        <w:rPr>
          <w:szCs w:val="24"/>
        </w:rPr>
        <w:lastRenderedPageBreak/>
        <w:t>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озелененных территорий (в </w:t>
      </w:r>
      <w:proofErr w:type="spellStart"/>
      <w:r w:rsidRPr="00DA431C">
        <w:rPr>
          <w:rFonts w:eastAsia="Times New Roman"/>
          <w:szCs w:val="24"/>
          <w:lang w:eastAsia="ru-RU"/>
        </w:rPr>
        <w:t>т.ч</w:t>
      </w:r>
      <w:proofErr w:type="spellEnd"/>
      <w:r w:rsidRPr="00DA431C">
        <w:rPr>
          <w:rFonts w:eastAsia="Times New Roman"/>
          <w:szCs w:val="24"/>
          <w:lang w:eastAsia="ru-RU"/>
        </w:rPr>
        <w:t>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</w:t>
      </w:r>
      <w:proofErr w:type="gramStart"/>
      <w:r w:rsidRPr="00DA431C">
        <w:rPr>
          <w:rFonts w:eastAsia="Times New Roman"/>
          <w:szCs w:val="24"/>
          <w:lang w:eastAsia="ru-RU"/>
        </w:rPr>
        <w:t>.»</w:t>
      </w:r>
      <w:proofErr w:type="gramEnd"/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spellStart"/>
      <w:r w:rsidR="006A2280">
        <w:rPr>
          <w:rFonts w:ascii="Times New Roman" w:hAnsi="Times New Roman" w:cs="Arial"/>
          <w:sz w:val="24"/>
          <w:szCs w:val="24"/>
        </w:rPr>
        <w:t>Гончаров</w:t>
      </w:r>
      <w:r w:rsidRPr="00DA431C">
        <w:rPr>
          <w:rFonts w:ascii="Times New Roman" w:hAnsi="Times New Roman" w:cs="Arial"/>
          <w:sz w:val="24"/>
          <w:szCs w:val="24"/>
        </w:rPr>
        <w:t>ского</w:t>
      </w:r>
      <w:proofErr w:type="spell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</w:t>
      </w:r>
      <w:r w:rsidR="00C70F2B">
        <w:rPr>
          <w:rFonts w:ascii="Times New Roman" w:hAnsi="Times New Roman" w:cs="Arial"/>
          <w:sz w:val="24"/>
          <w:szCs w:val="24"/>
        </w:rPr>
        <w:t xml:space="preserve">                   </w:t>
      </w:r>
      <w:bookmarkStart w:id="0" w:name="_GoBack"/>
      <w:bookmarkEnd w:id="0"/>
      <w:r w:rsidRPr="00DA431C">
        <w:rPr>
          <w:rFonts w:ascii="Times New Roman" w:hAnsi="Times New Roman" w:cs="Arial"/>
          <w:sz w:val="24"/>
          <w:szCs w:val="24"/>
        </w:rPr>
        <w:t xml:space="preserve">     </w:t>
      </w:r>
      <w:r w:rsidR="00F4130E" w:rsidRPr="00DA431C">
        <w:rPr>
          <w:rFonts w:ascii="Times New Roman" w:hAnsi="Times New Roman" w:cs="Arial"/>
          <w:sz w:val="24"/>
          <w:szCs w:val="24"/>
        </w:rPr>
        <w:t xml:space="preserve">             </w:t>
      </w:r>
      <w:r w:rsidR="006F3C8F">
        <w:rPr>
          <w:rFonts w:ascii="Times New Roman" w:hAnsi="Times New Roman" w:cs="Arial"/>
          <w:sz w:val="24"/>
          <w:szCs w:val="24"/>
        </w:rPr>
        <w:t xml:space="preserve">Т. Я. </w:t>
      </w:r>
      <w:proofErr w:type="spellStart"/>
      <w:r w:rsidR="006F3C8F">
        <w:rPr>
          <w:rFonts w:ascii="Times New Roman" w:hAnsi="Times New Roman" w:cs="Arial"/>
          <w:sz w:val="24"/>
          <w:szCs w:val="24"/>
        </w:rPr>
        <w:t>Пуликова</w:t>
      </w:r>
      <w:proofErr w:type="spellEnd"/>
      <w:r w:rsidR="006F3C8F">
        <w:rPr>
          <w:rFonts w:ascii="Times New Roman" w:hAnsi="Times New Roman" w:cs="Arial"/>
          <w:sz w:val="24"/>
          <w:szCs w:val="24"/>
        </w:rPr>
        <w:t>.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Default="00E91853" w:rsidP="00E91853">
      <w:pPr>
        <w:rPr>
          <w:szCs w:val="24"/>
          <w:lang w:eastAsia="ar-SA"/>
        </w:rPr>
      </w:pPr>
    </w:p>
    <w:p w:rsidR="00C70F2B" w:rsidRDefault="00C70F2B" w:rsidP="00E91853">
      <w:pPr>
        <w:rPr>
          <w:szCs w:val="24"/>
          <w:lang w:eastAsia="ar-SA"/>
        </w:rPr>
      </w:pPr>
    </w:p>
    <w:p w:rsidR="00C70F2B" w:rsidRDefault="00C70F2B" w:rsidP="00E91853">
      <w:pPr>
        <w:rPr>
          <w:szCs w:val="24"/>
          <w:lang w:eastAsia="ar-SA"/>
        </w:rPr>
      </w:pPr>
    </w:p>
    <w:p w:rsidR="00C70F2B" w:rsidRPr="00DA431C" w:rsidRDefault="00C70F2B" w:rsidP="00E91853">
      <w:pPr>
        <w:rPr>
          <w:szCs w:val="24"/>
          <w:lang w:eastAsia="ar-SA"/>
        </w:rPr>
      </w:pPr>
    </w:p>
    <w:sectPr w:rsidR="00C70F2B" w:rsidRPr="00DA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3"/>
    <w:rsid w:val="000B03E3"/>
    <w:rsid w:val="006A2280"/>
    <w:rsid w:val="006F3C8F"/>
    <w:rsid w:val="00AB543A"/>
    <w:rsid w:val="00AD0034"/>
    <w:rsid w:val="00B72C68"/>
    <w:rsid w:val="00B945F0"/>
    <w:rsid w:val="00C70F2B"/>
    <w:rsid w:val="00DA431C"/>
    <w:rsid w:val="00E91853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FCD6-54A5-4B9C-AB50-1A4AEA6A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1</cp:lastModifiedBy>
  <cp:revision>9</cp:revision>
  <cp:lastPrinted>2020-01-29T08:20:00Z</cp:lastPrinted>
  <dcterms:created xsi:type="dcterms:W3CDTF">2019-10-07T10:08:00Z</dcterms:created>
  <dcterms:modified xsi:type="dcterms:W3CDTF">2020-01-29T08:23:00Z</dcterms:modified>
</cp:coreProperties>
</file>