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1B02AE0F" w:rsidR="006236A7" w:rsidRPr="006236A7" w:rsidRDefault="00441E58" w:rsidP="00A82DA6">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75268E">
        <w:rPr>
          <w:rFonts w:ascii="Times New Roman" w:hAnsi="Times New Roman" w:cs="Times New Roman"/>
          <w:sz w:val="28"/>
          <w:szCs w:val="28"/>
        </w:rPr>
        <w:t>14</w:t>
      </w:r>
      <w:r w:rsidR="00A01329" w:rsidRPr="00A01329">
        <w:rPr>
          <w:rFonts w:ascii="Times New Roman" w:hAnsi="Times New Roman" w:cs="Times New Roman"/>
          <w:sz w:val="28"/>
          <w:szCs w:val="28"/>
        </w:rPr>
        <w:t>.</w:t>
      </w:r>
      <w:r w:rsidR="00A82DA6">
        <w:rPr>
          <w:rFonts w:ascii="Times New Roman" w:hAnsi="Times New Roman" w:cs="Times New Roman"/>
          <w:sz w:val="28"/>
          <w:szCs w:val="28"/>
        </w:rPr>
        <w:t>12</w:t>
      </w:r>
      <w:r w:rsidR="00B8680E" w:rsidRPr="00A01329">
        <w:rPr>
          <w:rFonts w:ascii="Times New Roman" w:hAnsi="Times New Roman" w:cs="Times New Roman"/>
          <w:sz w:val="28"/>
          <w:szCs w:val="28"/>
        </w:rPr>
        <w:t>.201</w:t>
      </w:r>
      <w:r w:rsidR="00A82DA6">
        <w:rPr>
          <w:rFonts w:ascii="Times New Roman" w:hAnsi="Times New Roman" w:cs="Times New Roman"/>
          <w:sz w:val="28"/>
          <w:szCs w:val="28"/>
        </w:rPr>
        <w:t>5</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A82DA6">
        <w:rPr>
          <w:rFonts w:ascii="Times New Roman" w:hAnsi="Times New Roman" w:cs="Times New Roman"/>
          <w:sz w:val="28"/>
          <w:szCs w:val="28"/>
        </w:rPr>
        <w:t>304</w:t>
      </w:r>
      <w:r w:rsidRPr="00A01329">
        <w:rPr>
          <w:rFonts w:ascii="Times New Roman" w:hAnsi="Times New Roman" w:cs="Times New Roman"/>
          <w:sz w:val="28"/>
          <w:szCs w:val="28"/>
        </w:rPr>
        <w:t xml:space="preserve"> «</w:t>
      </w:r>
      <w:r w:rsidR="00A82DA6" w:rsidRPr="00A82DA6">
        <w:rPr>
          <w:rFonts w:ascii="Times New Roman" w:hAnsi="Times New Roman"/>
          <w:sz w:val="28"/>
          <w:szCs w:val="28"/>
        </w:rPr>
        <w:t>Об утверждении административного регламента по предоставлению муниципальной услуги «</w:t>
      </w:r>
      <w:bookmarkStart w:id="1" w:name="_GoBack"/>
      <w:r w:rsidR="00A82DA6" w:rsidRPr="00A82DA6">
        <w:rPr>
          <w:rFonts w:ascii="Times New Roman" w:hAnsi="Times New Roman"/>
          <w:sz w:val="28"/>
          <w:szCs w:val="28"/>
        </w:rPr>
        <w:t xml:space="preserve">Установление публичного сервитута в отношении земельных участков </w:t>
      </w:r>
      <w:bookmarkEnd w:id="1"/>
      <w:r w:rsidR="00A82DA6" w:rsidRPr="00A82DA6">
        <w:rPr>
          <w:rFonts w:ascii="Times New Roman" w:hAnsi="Times New Roman"/>
          <w:sz w:val="28"/>
          <w:szCs w:val="28"/>
        </w:rPr>
        <w:t>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088F2A28"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A82DA6" w:rsidRPr="00A82DA6">
        <w:rPr>
          <w:rFonts w:ascii="Times New Roman" w:hAnsi="Times New Roman"/>
          <w:bCs/>
          <w:sz w:val="28"/>
          <w:szCs w:val="28"/>
        </w:rPr>
        <w:t>14.12.2015 г. № 304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w:t>
      </w:r>
      <w:r w:rsidRPr="009B3312">
        <w:rPr>
          <w:rFonts w:ascii="Times New Roman" w:hAnsi="Times New Roman"/>
          <w:bCs/>
          <w:sz w:val="28"/>
          <w:szCs w:val="28"/>
        </w:rPr>
        <w:lastRenderedPageBreak/>
        <w:t>№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9B3312">
        <w:rPr>
          <w:rFonts w:ascii="Times New Roman" w:hAnsi="Times New Roman"/>
          <w:bCs/>
          <w:sz w:val="28"/>
          <w:szCs w:val="28"/>
        </w:rPr>
        <w:lastRenderedPageBreak/>
        <w:t xml:space="preserve">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9B3312">
        <w:rPr>
          <w:rFonts w:ascii="Times New Roman" w:hAnsi="Times New Roman"/>
          <w:bCs/>
          <w:sz w:val="28"/>
          <w:szCs w:val="28"/>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w:t>
      </w:r>
      <w:r w:rsidRPr="009B3312">
        <w:rPr>
          <w:rFonts w:ascii="Times New Roman" w:hAnsi="Times New Roman"/>
          <w:bCs/>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460B6" w14:textId="77777777" w:rsidR="008E45D2" w:rsidRDefault="008E45D2" w:rsidP="00C03A5B">
      <w:r>
        <w:separator/>
      </w:r>
    </w:p>
  </w:endnote>
  <w:endnote w:type="continuationSeparator" w:id="0">
    <w:p w14:paraId="437BA8FA" w14:textId="77777777" w:rsidR="008E45D2" w:rsidRDefault="008E45D2"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063F" w14:textId="77777777" w:rsidR="008E45D2" w:rsidRDefault="008E45D2" w:rsidP="00C03A5B">
      <w:r>
        <w:separator/>
      </w:r>
    </w:p>
  </w:footnote>
  <w:footnote w:type="continuationSeparator" w:id="0">
    <w:p w14:paraId="14B321D1" w14:textId="77777777" w:rsidR="008E45D2" w:rsidRDefault="008E45D2"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25EF8"/>
    <w:rsid w:val="00161EEA"/>
    <w:rsid w:val="00170321"/>
    <w:rsid w:val="00182816"/>
    <w:rsid w:val="00194C60"/>
    <w:rsid w:val="001A35ED"/>
    <w:rsid w:val="001A4A66"/>
    <w:rsid w:val="001C1891"/>
    <w:rsid w:val="001D74B4"/>
    <w:rsid w:val="001E1928"/>
    <w:rsid w:val="001F1764"/>
    <w:rsid w:val="00211449"/>
    <w:rsid w:val="002B05DF"/>
    <w:rsid w:val="002D6352"/>
    <w:rsid w:val="002E5096"/>
    <w:rsid w:val="002E6B0D"/>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268E"/>
    <w:rsid w:val="00753485"/>
    <w:rsid w:val="00780C80"/>
    <w:rsid w:val="007C604F"/>
    <w:rsid w:val="008175C8"/>
    <w:rsid w:val="00840E01"/>
    <w:rsid w:val="00845059"/>
    <w:rsid w:val="00853998"/>
    <w:rsid w:val="00856AB6"/>
    <w:rsid w:val="008666C2"/>
    <w:rsid w:val="00884E6F"/>
    <w:rsid w:val="0089345C"/>
    <w:rsid w:val="008A4105"/>
    <w:rsid w:val="008C227D"/>
    <w:rsid w:val="008E45D2"/>
    <w:rsid w:val="009348CC"/>
    <w:rsid w:val="0094009C"/>
    <w:rsid w:val="0094746A"/>
    <w:rsid w:val="00954C20"/>
    <w:rsid w:val="00965F01"/>
    <w:rsid w:val="009A3F28"/>
    <w:rsid w:val="009A547F"/>
    <w:rsid w:val="009B3312"/>
    <w:rsid w:val="009C137C"/>
    <w:rsid w:val="009D736D"/>
    <w:rsid w:val="009D7A0A"/>
    <w:rsid w:val="00A01329"/>
    <w:rsid w:val="00A032C0"/>
    <w:rsid w:val="00A82DA6"/>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61AB1"/>
    <w:rsid w:val="00E92437"/>
    <w:rsid w:val="00E93FB8"/>
    <w:rsid w:val="00EB228D"/>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F18F-06D4-4956-A907-F6EE9425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567</TotalTime>
  <Pages>7</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Нижневедугское</cp:lastModifiedBy>
  <cp:revision>36</cp:revision>
  <cp:lastPrinted>2015-09-15T13:51:00Z</cp:lastPrinted>
  <dcterms:created xsi:type="dcterms:W3CDTF">2022-07-25T13:13:00Z</dcterms:created>
  <dcterms:modified xsi:type="dcterms:W3CDTF">2022-12-16T12:24:00Z</dcterms:modified>
</cp:coreProperties>
</file>