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00" w:rsidRPr="004A0400" w:rsidRDefault="00FE07C5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="004A0400"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4A0400" w:rsidRDefault="00FE07C5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</w:t>
      </w:r>
      <w:r w:rsidR="004A0400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4A0400" w:rsidRDefault="00FE07C5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Нагорский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FE07C5" w:rsidRDefault="00FE07C5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:rsidR="004A0400" w:rsidRPr="004A0400" w:rsidRDefault="004A0400" w:rsidP="004A0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07C5" w:rsidRDefault="004A0400" w:rsidP="00FE07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0400" w:rsidRPr="00FE07C5" w:rsidRDefault="004A0400" w:rsidP="00E65E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7834">
        <w:rPr>
          <w:rFonts w:ascii="Arial" w:hAnsi="Arial" w:cs="Arial"/>
          <w:color w:val="3C3C3C"/>
          <w:spacing w:val="2"/>
          <w:sz w:val="41"/>
          <w:szCs w:val="41"/>
        </w:rPr>
        <w:br/>
      </w:r>
      <w:r w:rsidR="00E65E22">
        <w:rPr>
          <w:rFonts w:ascii="Times New Roman" w:hAnsi="Times New Roman"/>
          <w:sz w:val="28"/>
          <w:szCs w:val="28"/>
        </w:rPr>
        <w:t xml:space="preserve">08.02.2019                                                                                                  </w:t>
      </w:r>
      <w:r w:rsidR="00FE07C5" w:rsidRPr="00FE07C5">
        <w:rPr>
          <w:rFonts w:ascii="Times New Roman" w:hAnsi="Times New Roman"/>
          <w:sz w:val="28"/>
          <w:szCs w:val="28"/>
        </w:rPr>
        <w:t>№</w:t>
      </w:r>
      <w:r w:rsidR="005E1C0E">
        <w:rPr>
          <w:rFonts w:ascii="Times New Roman" w:hAnsi="Times New Roman"/>
          <w:sz w:val="28"/>
          <w:szCs w:val="28"/>
        </w:rPr>
        <w:t>17</w:t>
      </w:r>
      <w:r w:rsidR="00E65E22">
        <w:rPr>
          <w:rFonts w:ascii="Times New Roman" w:hAnsi="Times New Roman"/>
          <w:sz w:val="28"/>
          <w:szCs w:val="28"/>
        </w:rPr>
        <w:t>/6</w:t>
      </w:r>
    </w:p>
    <w:p w:rsidR="004A0400" w:rsidRPr="00583B42" w:rsidRDefault="004A0400" w:rsidP="004A0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улино</w:t>
      </w:r>
      <w:proofErr w:type="spellEnd"/>
    </w:p>
    <w:p w:rsidR="004A0400" w:rsidRDefault="004A0400" w:rsidP="004A0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20D" w:rsidRPr="00FC34B1" w:rsidRDefault="009F520D" w:rsidP="00FE07C5">
      <w:pPr>
        <w:shd w:val="clear" w:color="auto" w:fill="FFFFFF"/>
        <w:spacing w:before="100" w:beforeAutospacing="1" w:after="100" w:afterAutospacing="1" w:line="240" w:lineRule="auto"/>
        <w:ind w:left="857" w:right="7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оплаты труда депутатов, выборных должностных лиц</w:t>
      </w:r>
      <w:r w:rsidR="00E67EB5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местного самоуправления и муниципальных служащих муниципального образования </w:t>
      </w:r>
      <w:proofErr w:type="spellStart"/>
      <w:r w:rsidR="00E67EB5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</w:t>
      </w:r>
      <w:proofErr w:type="spellEnd"/>
      <w:r w:rsidR="00E67EB5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0745C0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F520D" w:rsidRPr="00FC34B1" w:rsidRDefault="009F520D" w:rsidP="00FE07C5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3 статьи 2 Закона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статьей 22 Закона Кировской области от 08.10.2007 № 171-ЗО «О муниципальной службе в Кировской области» и постановлением Правительства Кировской области от 12.04.2011 № 98/120 «О расходах на оплату труда депутатов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 </w:t>
      </w:r>
      <w:proofErr w:type="spellStart"/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Мулинская</w:t>
      </w:r>
      <w:proofErr w:type="spellEnd"/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Дума РЕШИЛА: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Установить для выборных должностных лиц местного самоуправления муниципального образования </w:t>
      </w:r>
      <w:proofErr w:type="spellStart"/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Мулинское</w:t>
      </w:r>
      <w:proofErr w:type="spellEnd"/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свои полномочия на постоянной основе (далее – депутаты и выборные лица), следующую систему оплаты труда: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1.1. Оплата труда производится в виде ежемесячного денежного содержания, состоящего из денежного вознаграждения и дополнительных выплат.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1.2. Денежное вознаграждение, включает в себя должностной оклад и ежемесячное денежное поощрение.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1.2.1. Размеры должностных окладов выборных должностных лиц местного самоуправления </w:t>
      </w:r>
      <w:proofErr w:type="spellStart"/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Мулинское</w:t>
      </w:r>
      <w:proofErr w:type="spellEnd"/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соответствии с приложением № 1.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1.2.2. Порядок выплаты ежемесячного денежного поощрения, выборным должностным лицам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в соответствии с Приложением № 2.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1.3. Дополнительные выплаты, включающие: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 Премию по результатам работы, выплачиваемую в соответствии с Порядком премирования, выборных должностных лиц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№ 3.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EE63C2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Единовременную выплату при предоставлении ежегодного оплачиваемого отпуска производимой в соответствии с Порядком единовременной выплаты при предоставлении ежегодного оплачиваемого отпуска, выборным должностным лицам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№ 4.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EE63C2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Материальную помощь, выплачиваемую в соответствии с Порядком выплаты материальной помощи, выборным должностным лицам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Приложение № 5.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Установить, что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Установить размеры должностных окладов муниципальных служащих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поселения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 К должностному окладу муниципального служащего устанавливаются следующие размеры ежемесячных и иных дополнительных выплат: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2.2.1. Ежемесячная надбавка за выслугу лет на муниципальной службе:</w:t>
      </w: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9"/>
        <w:gridCol w:w="3091"/>
      </w:tblGrid>
      <w:tr w:rsidR="009F520D" w:rsidRPr="00FC34B1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стаже муниципальной службы</w:t>
            </w: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9F520D" w:rsidRPr="00FC34B1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520D" w:rsidRPr="00FC34B1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520D" w:rsidRPr="00FC34B1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520D" w:rsidRPr="00FC34B1" w:rsidTr="000A5E79">
        <w:trPr>
          <w:tblCellSpacing w:w="0" w:type="dxa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установления и выплаты ежемесячной надбавки за выслугу лет на муниципальной службе муниципальным служащим органов местного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согласно приложению № 7.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2.2.2. Ежемесячная надбавка за особые условия муниципальной службы.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установления и выплаты ежемесячной надбавки за особые условия муниципальной службы муниципальным служащим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поселение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согласно приложению № 8.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2.2.3. Ежемесячное денежное поощрение.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установления и выплаты ежемесячного денежного поощрения муниципальных служащих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согласно Приложению № 9.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2.2.4. Ежемесячная надбавка за классный чин.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установления и выплаты ежемесячной надбавки за классный чин муниципальным служащим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согласно Приложению № 10.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2.2.5. Премии за выполнение особо важных и сложных заданий.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премирования муниципальных служащих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согласно Приложению № 11.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2.3. Единовременная выплата при предоставлении ежегодного оплачиваемого отпуска.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осуществления единовременной выплаты при предоставлении ежегодного оплачиваемого отпуска муниципальным служащим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согласно Приложению № 12.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2.4. Материальная помощь.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выплаты материальной помощи муниципальным служащим органов местного самоуправления </w:t>
      </w:r>
      <w:r w:rsidR="00BE380A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Мулинского сельского поселения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согласно Приложению № 13.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ф</w:t>
      </w:r>
      <w:r w:rsidR="00177087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ормировании фонда оплаты труда</w:t>
      </w:r>
      <w:proofErr w:type="gramStart"/>
      <w:r w:rsidR="00177087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выборных лиц и муниципальных служащих сверх суммы средств, направляемых на выплату должностных окладов, предусматриваются следующие средства для выплаты (в </w:t>
      </w: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расчете на год):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3.1. </w:t>
      </w:r>
      <w:r w:rsidR="00177087"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ыборным должностным лицам местного самоуправления, осуществляющим свои полномочия на постоянной основе: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3.1.1. Ежемесячного денежного поощрения - в размере 36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3.1.2. Ежемесячной премии по результатам работы - в размере 12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3.1.3Единовременной выплаты при предоставлении ежегодного оплачиваемого отпуска и материальной помощи - в размере </w:t>
      </w:r>
      <w:r w:rsidR="00F24D76"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C34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 Муниципальным служащим: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3.2.1. Ежемесячной надбавки к должностному окладу за выслугу лет на муниципальной службе в размере 3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3.2.2. Ежемесячной надбавки за классный чин – в размере 4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3.2.3. Ежемесячной надбавки к должностному окладу за особые условия муниципальной службы - в размере 12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3.2.4. Ежемесячного денежного поощрения - в размере 18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3.2.5. Премий за выполнение особо важных</w:t>
      </w:r>
      <w:r w:rsidR="000745C0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сложных заданий - в размере 4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3.2.7. Единовременной выплаты при предоставлении ежегодного оплачиваемого отпуска и материальной помощи - в размере 3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Фонд оплаты труда, выборных лиц и муниципальных служащих формируется с учетом районного коэффициента в соответствии с законодательством Российской Федерации.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Размеры должностных окладов, выборных должностных лиц местного самоуправления, осуществляющих свои полномочия на постоянной основе, муниципальных служащих, размеры ежемесячных надбавок за классный чин к должностным окладам муниципальных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3F98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лужащих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увеличиваются (индексируются) в соответствии с нормативными правовыми актами Губернатора Кировской области.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Признать утратившим силу решения </w:t>
      </w:r>
      <w:proofErr w:type="spellStart"/>
      <w:r w:rsidR="000B61A4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0B61A4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Думы:</w:t>
      </w:r>
    </w:p>
    <w:p w:rsidR="00B96B99" w:rsidRPr="00FC34B1" w:rsidRDefault="000745C0" w:rsidP="00FC34B1">
      <w:pPr>
        <w:shd w:val="clear" w:color="auto" w:fill="FFFFFF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6.1. решение </w:t>
      </w:r>
      <w:proofErr w:type="spellStart"/>
      <w:r w:rsidRPr="00FC34B1">
        <w:rPr>
          <w:rFonts w:ascii="Times New Roman" w:eastAsia="Times New Roman" w:hAnsi="Times New Roman" w:cs="Times New Roman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</w:t>
      </w:r>
      <w:r w:rsidR="00FC34B1" w:rsidRPr="00FC34B1">
        <w:rPr>
          <w:rFonts w:ascii="Times New Roman" w:eastAsia="Times New Roman" w:hAnsi="Times New Roman" w:cs="Times New Roman"/>
          <w:sz w:val="28"/>
          <w:szCs w:val="28"/>
        </w:rPr>
        <w:t xml:space="preserve"> от 18.08.2016 № 37/3 «</w:t>
      </w:r>
      <w:r w:rsidR="00FC34B1" w:rsidRPr="00FC34B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оплаты труда депутатов, выборных должностных лиц местного самоуправления и муниципальных служащих муниципального образования </w:t>
      </w:r>
      <w:proofErr w:type="spellStart"/>
      <w:r w:rsidR="00FC34B1" w:rsidRPr="00FC34B1">
        <w:rPr>
          <w:rFonts w:ascii="Times New Roman" w:eastAsia="Times New Roman" w:hAnsi="Times New Roman" w:cs="Times New Roman"/>
          <w:bCs/>
          <w:sz w:val="28"/>
          <w:szCs w:val="28"/>
        </w:rPr>
        <w:t>Мулинского</w:t>
      </w:r>
      <w:proofErr w:type="spellEnd"/>
      <w:r w:rsidR="00FC34B1" w:rsidRPr="00FC34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C34B1" w:rsidRPr="00FC34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C34B1" w:rsidRPr="00FC34B1" w:rsidRDefault="00FC34B1" w:rsidP="00FC34B1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sz w:val="28"/>
          <w:szCs w:val="28"/>
        </w:rPr>
        <w:t xml:space="preserve">6.2. решение </w:t>
      </w:r>
      <w:proofErr w:type="spellStart"/>
      <w:r w:rsidRPr="00FC34B1">
        <w:rPr>
          <w:rFonts w:ascii="Times New Roman" w:eastAsia="Times New Roman" w:hAnsi="Times New Roman" w:cs="Times New Roman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sz w:val="28"/>
          <w:szCs w:val="28"/>
        </w:rPr>
        <w:t xml:space="preserve"> сельской Думы от 06.03.2018 № 7/4 «</w:t>
      </w:r>
      <w:r w:rsidRPr="00FC34B1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Положение « </w:t>
      </w:r>
      <w:r w:rsidRPr="00FC34B1">
        <w:rPr>
          <w:rFonts w:ascii="Times New Roman" w:hAnsi="Times New Roman" w:cs="Times New Roman"/>
          <w:bCs/>
          <w:sz w:val="28"/>
          <w:szCs w:val="28"/>
        </w:rPr>
        <w:t xml:space="preserve">О порядке оплаты труда депутатов, выборных должностных лиц местного самоуправления и муниципальных служащих муниципального образования </w:t>
      </w:r>
      <w:proofErr w:type="spellStart"/>
      <w:r w:rsidRPr="00FC34B1">
        <w:rPr>
          <w:rFonts w:ascii="Times New Roman" w:hAnsi="Times New Roman" w:cs="Times New Roman"/>
          <w:bCs/>
          <w:sz w:val="28"/>
          <w:szCs w:val="28"/>
        </w:rPr>
        <w:t>Мулинского</w:t>
      </w:r>
      <w:proofErr w:type="spellEnd"/>
      <w:r w:rsidRPr="00FC34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Pr="00FC34B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96B99" w:rsidRPr="00FC34B1" w:rsidRDefault="00B96B99" w:rsidP="003B7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20D" w:rsidRPr="00FC34B1" w:rsidRDefault="000B61A4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F23B48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1A4" w:rsidRPr="00FC34B1" w:rsidRDefault="00FC34B1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                                В.М.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Шуплецова</w:t>
      </w:r>
      <w:proofErr w:type="spellEnd"/>
    </w:p>
    <w:p w:rsidR="00FC34B1" w:rsidRPr="00FC34B1" w:rsidRDefault="00FC34B1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                                                                          Н.Ю.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p w:rsidR="00FC34B1" w:rsidRPr="00FC34B1" w:rsidRDefault="00FC34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B73C3" w:rsidRPr="00FC34B1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E4179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E4179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FC3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</w:p>
    <w:p w:rsidR="009F520D" w:rsidRPr="00FC34B1" w:rsidRDefault="00FC34B1" w:rsidP="00FC3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должностных окладов </w:t>
      </w:r>
      <w:r w:rsidR="009F520D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выборных должностных лиц</w:t>
      </w:r>
    </w:p>
    <w:p w:rsidR="009F520D" w:rsidRPr="00FC34B1" w:rsidRDefault="009F520D" w:rsidP="00FC3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местного самоуправления муниципального образования</w:t>
      </w:r>
    </w:p>
    <w:p w:rsidR="009F520D" w:rsidRPr="00FC34B1" w:rsidRDefault="00E4179B" w:rsidP="00FC34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Мулинское</w:t>
      </w:r>
      <w:proofErr w:type="spellEnd"/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79B" w:rsidRPr="00FC34B1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7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0"/>
        <w:gridCol w:w="2049"/>
      </w:tblGrid>
      <w:tr w:rsidR="004E2226" w:rsidRPr="00FC34B1" w:rsidTr="004E2226">
        <w:trPr>
          <w:trHeight w:val="986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6" w:rsidRPr="00FC34B1" w:rsidRDefault="004E2226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26" w:rsidRPr="00FC34B1" w:rsidRDefault="004E2226" w:rsidP="00B470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0678" w:rsidRPr="00FC34B1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</w:tr>
    </w:tbl>
    <w:p w:rsidR="00E4179B" w:rsidRPr="00FC34B1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79B" w:rsidRPr="00FC34B1" w:rsidRDefault="00E4179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E7" w:rsidRPr="00FC34B1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226" w:rsidRPr="00FC34B1" w:rsidRDefault="004E222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226" w:rsidRPr="00FC34B1" w:rsidRDefault="004E222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226" w:rsidRPr="00FC34B1" w:rsidRDefault="004E222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E7" w:rsidRPr="00FC34B1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8E7" w:rsidRPr="00FC34B1" w:rsidRDefault="009418E7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5C0" w:rsidRPr="00FC34B1" w:rsidRDefault="000745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4D4D09" w:rsidRPr="00FC34B1" w:rsidRDefault="004D4D0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2</w:t>
      </w:r>
    </w:p>
    <w:p w:rsidR="00B47087" w:rsidRPr="00FC34B1" w:rsidRDefault="009F520D" w:rsidP="00B47087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E4179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E4179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выплаты ежемесячного денежного поощрения,</w:t>
      </w: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выборным должностным лицам органов местного самоуправления </w:t>
      </w:r>
      <w:r w:rsidR="00E4179B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Ежемесячное денежное поощрение, выборных должностных лиц органов местного самоуправления </w:t>
      </w:r>
      <w:r w:rsidR="00EC7C75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 осуществляется в целях повышения материальной заинтересованности в результатах труда, создания условий для развития творческой активности и инициативы, повышения ответственности в достижении поставленных целей.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Ежемесячное денежное поощрение устанавливается решением </w:t>
      </w:r>
      <w:proofErr w:type="spellStart"/>
      <w:r w:rsidR="00EC7C75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EC7C75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следующих размерах должностному окладу: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9"/>
        <w:gridCol w:w="1961"/>
      </w:tblGrid>
      <w:tr w:rsidR="009F520D" w:rsidRPr="00FC34B1" w:rsidTr="00EC7C75">
        <w:trPr>
          <w:tblCellSpacing w:w="0" w:type="dxa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9F520D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520D" w:rsidRPr="00FC34B1" w:rsidRDefault="00670678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>- 350</w:t>
            </w:r>
            <w:r w:rsidR="009F520D" w:rsidRPr="00FC3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 формировании фонда оплаты труда,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выборным должностным лицам органов местного самоуправления, осуществляющим свои полномочия на постоянной основе предусматриваются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денежные средства в размере </w:t>
      </w:r>
      <w:r w:rsidR="000745C0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окладов.</w:t>
      </w:r>
    </w:p>
    <w:p w:rsidR="009F520D" w:rsidRPr="00FC34B1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Ежемесячное денежное поощрение выплачивается за фактически отработанное время одновременно с выплатой должностных окладов.</w:t>
      </w:r>
    </w:p>
    <w:p w:rsidR="009F520D" w:rsidRPr="00FC34B1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размер ежемесячного денежного поощрения начисляется районный коэффициент. Выплаченные суммы ежемесячного денежного поощрения учитываются при исчислении средней заработной платы в соответствии с действующим законодательством.</w:t>
      </w:r>
    </w:p>
    <w:p w:rsidR="004D4D09" w:rsidRPr="00FC34B1" w:rsidRDefault="004D4D0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4D09" w:rsidRPr="00FC34B1" w:rsidRDefault="004D4D0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5C0" w:rsidRPr="00FC34B1" w:rsidRDefault="000745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41E45" w:rsidRPr="00FC34B1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E346A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E346A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E4B" w:rsidRPr="00FC34B1" w:rsidRDefault="00833E4B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833E4B" w:rsidP="003B73C3">
      <w:pPr>
        <w:shd w:val="clear" w:color="auto" w:fill="FFFFFF"/>
        <w:spacing w:before="100" w:beforeAutospacing="1" w:after="100" w:afterAutospacing="1" w:line="240" w:lineRule="auto"/>
        <w:ind w:left="9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Премирования </w:t>
      </w:r>
      <w:r w:rsidRPr="00FC3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лиц, замещающих выборные муниципальные должности органов местного самоуправления 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33E4B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Сумма премии ежемесячно определяется постоянной депутатской комиссией </w:t>
      </w:r>
      <w:r w:rsidR="00833E4B" w:rsidRPr="00FC34B1">
        <w:rPr>
          <w:rStyle w:val="s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бюджету, финансам, экономической и инвестиционной политике</w:t>
      </w:r>
      <w:r w:rsidR="00833E4B" w:rsidRPr="00FC34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833E4B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Мулинской</w:t>
      </w:r>
      <w:proofErr w:type="spellEnd"/>
      <w:r w:rsidR="00833E4B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Думы (далее – комиссия).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Сумма ежемесячной премии состоит: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50 % - фиксированная часть, выплачивается ежемесячно независимо от выполнения показателей;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50 % - переменная часть, выплачивается в полном размере при выполнении следующих показателей:</w:t>
      </w:r>
    </w:p>
    <w:p w:rsidR="00833E4B" w:rsidRPr="00FC34B1" w:rsidRDefault="00833E4B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</w:t>
      </w:r>
    </w:p>
    <w:p w:rsidR="00833E4B" w:rsidRPr="00FC34B1" w:rsidRDefault="00833E4B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ПРЕМИРОВАНИЯ ЛИЦ, ЗАМЕЩАЮЩИХ ВЫБОРНЫЕ МУНИЦИПАЛЬНЫЕ ДОЛЖНОСТИ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5824"/>
        <w:gridCol w:w="2791"/>
      </w:tblGrid>
      <w:tr w:rsidR="00833E4B" w:rsidRPr="00FC34B1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Показатели, при выполнении которых премия по результатам работы</w:t>
            </w:r>
          </w:p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выплачивается в полном размере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 снижения премии по результатам работы при невыполнении показателя</w:t>
            </w:r>
          </w:p>
        </w:tc>
      </w:tr>
      <w:tr w:rsidR="00833E4B" w:rsidRPr="00FC34B1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плана исполнения бюджета муниципального образования по доходам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33E4B" w:rsidRPr="00FC34B1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оборота организаций по всем видам экономической деятельности по крупным и средним организациям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33E4B" w:rsidRPr="00FC34B1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просроченной кредиторской задолженности по выплате заработной платы с начислениями по учреждениям, финансируемым из местного бюджета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33E4B" w:rsidRPr="00FC34B1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задолженности за потребленные топливно-энергетические ресурсы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833E4B" w:rsidRPr="00FC34B1" w:rsidTr="00833E4B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просроченной (неурегулированной) задолженности по долговым обязательствам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3E4B" w:rsidRPr="00FC34B1" w:rsidRDefault="00833E4B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За каждый процент невыполнения показателей № 1 и 2 сумма ежемесячной премии снижается на </w:t>
      </w:r>
      <w:r w:rsidR="00833E4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%, но не более значения, установленного по данному показателю.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 невыполнении показателей № 3, 4, 5 сумма премии снижается на проценты, предусмотренные по данным показателям.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Глава администрации </w:t>
      </w:r>
      <w:r w:rsidR="00883A4F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</w:t>
      </w:r>
      <w:r w:rsidR="004B700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квартально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25 числа месяца, следующего за отчетным, представляет в комиссию сведения о выполнении показателей, предусмотренных настоящим Порядком.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Комиссия рассматривает представленные сведения и принимает решение о сумме еже</w:t>
      </w:r>
      <w:r w:rsidR="004B700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квартальной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премии. Свое решение комиссия направляет в отдел бухгалтерского учета администрации района не позднее </w:t>
      </w:r>
      <w:r w:rsidR="00F24D76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месяца, следующего за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Данное решение является основанием для начисления установленной суммы премии.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спорных случаях комиссия вправе внести вопрос о премировании депутатов и выборных должностных лиц местного самоуправления на рассмотрение </w:t>
      </w:r>
      <w:proofErr w:type="spellStart"/>
      <w:r w:rsidR="00883A4F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883A4F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При формировании фонда оплаты труда,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выборным должностным лицам органов местного самоуправления, осуществляющим свои полномочия на постоянной основе предусматриваются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денежные средства в размере 12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Премия выплачивается за фактически отработанное время одновременно с выплатой должностных окладов.</w:t>
      </w:r>
    </w:p>
    <w:p w:rsidR="009F520D" w:rsidRPr="00FC34B1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размер премиальных выплат начисляется районный коэффициент. Премиальные выплаты учитываются при исчислении средней заработной платы в соответствии с действующим законодательством.</w:t>
      </w:r>
    </w:p>
    <w:p w:rsidR="009F520D" w:rsidRPr="00FC34B1" w:rsidRDefault="00E346A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04B8D" w:rsidRPr="00FC34B1" w:rsidRDefault="00204B8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D41E45" w:rsidRPr="00FC34B1" w:rsidRDefault="00D41E4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after="0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4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E346A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E346A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after="0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единовременной выплаты при предоставлении ежегодного оплачиваемого отпуска депутатам, выборным должностным лицам органов местного самоуправления </w:t>
      </w:r>
      <w:r w:rsidR="00E346AD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E346AD" w:rsidP="003B73C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ыборным должностным лицам органов местного самоуправления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свою деятельность на постоянной основе производится единовременная выплата при предоставлении ежегодного оплачиваемого отпуска в размере двух должностных окладов.</w:t>
      </w:r>
    </w:p>
    <w:p w:rsidR="009F520D" w:rsidRPr="00FC34B1" w:rsidRDefault="009F520D" w:rsidP="00F23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выплаты определяется по замещаемой должности на день обращения за выплатой.</w:t>
      </w:r>
    </w:p>
    <w:p w:rsidR="009F520D" w:rsidRPr="00FC34B1" w:rsidRDefault="009F520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Основанием для выплаты является распоряжение о предоставлении ежегодного оплачиваемого отпуска и осуществлении единовременной выплаты.</w:t>
      </w:r>
    </w:p>
    <w:p w:rsidR="009F520D" w:rsidRPr="00FC34B1" w:rsidRDefault="00204B8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разделения ежегодного оплачиваемого отпуска на части выплата производится при предоставлении любой из частей отпуска по желанию депутата, выборного должностного лица органов местного самоуправления.</w:t>
      </w:r>
    </w:p>
    <w:p w:rsidR="009F520D" w:rsidRPr="00FC34B1" w:rsidRDefault="009F520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Выплата осуществляется с учетом фактически отработанного времени в календарном году. При увольнении работника, которому осуществлена выплата до окончания календарного года, производится перерасчет размера выплаты с учетом фактически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полных месяцев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календарном году и удержание излишне выплаченных сумм.</w:t>
      </w:r>
    </w:p>
    <w:p w:rsidR="009F520D" w:rsidRPr="00FC34B1" w:rsidRDefault="00204B8D" w:rsidP="003B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работника в связи с сокращением штатов удержание излишне выплаченных сумм не производится.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если при увольнении работника отпуск (либо его часть) остался неиспользованным, ему вместе с денежной компенсацией за неиспользованный отпуск выплачивается единовременная денежная выплата за фактически отработанное время.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Единовременная выплата, не полученная в текущем календарном году, на следующий календарный год не переходит.</w:t>
      </w:r>
    </w:p>
    <w:p w:rsidR="000745C0" w:rsidRPr="00FC34B1" w:rsidRDefault="009F520D" w:rsidP="00074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На единовременную выплату к ежегодному оплачиваемому отпуску начисляется районный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учитывается при начислении среднемесячной заработной платы в соответствии с действующим законодательством.</w:t>
      </w:r>
    </w:p>
    <w:p w:rsidR="000745C0" w:rsidRPr="00FC34B1" w:rsidRDefault="000745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F520D" w:rsidRPr="00FC34B1" w:rsidRDefault="009F520D" w:rsidP="000745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5</w:t>
      </w:r>
    </w:p>
    <w:p w:rsidR="009F520D" w:rsidRPr="00FC34B1" w:rsidRDefault="009F520D" w:rsidP="004D4D09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CA38E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CA38E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выплаты материальной помощи, выборным</w:t>
      </w: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должностным лицам органов местного самоуправления</w:t>
      </w:r>
    </w:p>
    <w:p w:rsidR="009F520D" w:rsidRPr="00FC34B1" w:rsidRDefault="00CA38E9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1.Депутатам, выборным должностным лицам органов местного самоуправления </w:t>
      </w:r>
      <w:r w:rsidR="00CA38E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осуществляющих свою деятельность на постоянной основе производится единовременная выплата материальной помощи в размере </w:t>
      </w:r>
      <w:r w:rsidR="004E2226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</w:t>
      </w:r>
      <w:r w:rsidR="004E2226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оклад</w:t>
      </w:r>
      <w:r w:rsidR="004E2226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материальной помощи определяется по замещаемой должности на день обращения за выплатой.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Основанием для выплаты материальной помощи является письменное заявление, выборного должностного лица.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Материальная помощь выплачивается с учетом фактически отработанного времени в календарном году. При увольнении работника, получившего материальную помощь до окончания календарного года, производится перерасчет размера материальной помощи с учетом фактически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полных месяцев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календарном году и удержание излишне выплаченных сумм.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работника в связи с сокращением штатов удержание излишне выплаченной материальной помощи не производится.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выплаченная материальная помощь на следующий календарный год не переходит.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 материальную помощь начисляется районный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учитывается при исчислении среднемесячной заработной платы в соответствии с действующим законодательством.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5C0" w:rsidRPr="00FC34B1" w:rsidRDefault="000745C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23B48" w:rsidRPr="00FC34B1" w:rsidRDefault="00F23B48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6</w:t>
      </w:r>
    </w:p>
    <w:p w:rsidR="00B47087" w:rsidRPr="00FC34B1" w:rsidRDefault="009F520D" w:rsidP="00B47087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3D55C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3D55C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D55CB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</w:t>
      </w:r>
      <w:proofErr w:type="gramEnd"/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РАЗМЕРЫ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должностных окладов муниципальных служащих органов местного самоуправления </w:t>
      </w:r>
      <w:r w:rsidR="00CA38E9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8"/>
        <w:gridCol w:w="2098"/>
      </w:tblGrid>
      <w:tr w:rsidR="004D4D09" w:rsidRPr="00FC34B1" w:rsidTr="004D4D09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D09" w:rsidRPr="00FC34B1" w:rsidRDefault="004D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6A5C3C" w:rsidRPr="00FC34B1" w:rsidTr="006A5C3C">
        <w:trPr>
          <w:trHeight w:val="68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B47087" w:rsidP="00FE07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07C5" w:rsidRPr="00FC34B1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6A5C3C" w:rsidRPr="00FC34B1" w:rsidTr="006A5C3C">
        <w:trPr>
          <w:trHeight w:val="350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B47087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3247</w:t>
            </w:r>
          </w:p>
        </w:tc>
      </w:tr>
      <w:tr w:rsidR="006A5C3C" w:rsidRPr="00FC34B1" w:rsidTr="006A5C3C">
        <w:trPr>
          <w:trHeight w:val="332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6A5C3C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3C" w:rsidRPr="00FC34B1" w:rsidRDefault="00B47087" w:rsidP="003B7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4B1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</w:tr>
    </w:tbl>
    <w:p w:rsidR="003D55CB" w:rsidRPr="00FC34B1" w:rsidRDefault="003D55C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D55CB" w:rsidRPr="00FC34B1" w:rsidRDefault="003D55C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CA38E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CA38E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установления и выплаты ежемесячной надбавки</w:t>
      </w:r>
    </w:p>
    <w:p w:rsidR="009F520D" w:rsidRPr="00FC34B1" w:rsidRDefault="009F520D" w:rsidP="00F23B48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выслугу лет на муниципальной службе муниципальным служащим органов местного самоуправления </w:t>
      </w:r>
      <w:r w:rsidR="00CA38E9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F23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за выслугу лет на муниципальной службе муниципальным служащим является одной из форм материального стимулирования и служит закреплению кадров на муниципальной службе.</w:t>
      </w:r>
    </w:p>
    <w:p w:rsidR="009F520D" w:rsidRPr="00FC34B1" w:rsidRDefault="009F520D" w:rsidP="00F23B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выплату ежемесячной надбавки к должностному окладу за выслугу лет на муниципальной службе при формировании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оплаты труда предусматриваются денежные средства в размере трех должностных окладов в год по всем должностям, включенным в штатное расписание.</w:t>
      </w:r>
    </w:p>
    <w:p w:rsidR="009F520D" w:rsidRPr="00FC34B1" w:rsidRDefault="009F520D" w:rsidP="003B7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Ежемесячная надбавка за выслугу лет на муниципальной службе выплачивается при стаже муниципальной службы: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 1 года до 5 лет - в размере 10 процентов должностного оклада;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 5 до 10 лет - в размере 15 процентов должностного оклада;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до 15 лет - в размере 20 процентов должностного оклада;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15 лет – в размере 30 процентов должностного оклада.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Стаж муниципальной службы муниципального служащего для исчисления надбавки за выслугу лет определяется комиссией по установлению стажа муниципальной службы в соответствии с законодательством о муниципальной службе и нормативными правовыми актами органов местного самоуправления.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Ежемесячная надбавка за выслугу лет устанавливается работодателем на основании решения комиссии по установлению стажа муниципальной службы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поступления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служащего на муниципальную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службу, а также со дня появления права на получение надбавки в повышенном размере.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7. Надбавка выплачивается муниципальным служащим одновременно с выплатой им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На размер ежемесячной надбавки за выслугу лет начисляется районный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учитывается при исчислении средней заработной платы в соответствии с действующим законодательством.</w:t>
      </w:r>
    </w:p>
    <w:p w:rsidR="003B73C3" w:rsidRPr="00FC34B1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B73C3" w:rsidRPr="00FC34B1" w:rsidRDefault="003B73C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BF3" w:rsidRPr="00FC34B1" w:rsidRDefault="00963BF3" w:rsidP="00F23B48">
      <w:pPr>
        <w:shd w:val="clear" w:color="auto" w:fill="FFFFFF"/>
        <w:spacing w:before="100" w:beforeAutospacing="1" w:after="100" w:afterAutospacing="1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8</w:t>
      </w:r>
    </w:p>
    <w:p w:rsidR="003B73C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ind w:left="56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установления и выплаты ежемесячной надбавки за особые условия муниципальной службы муниципальным служащим органов местного самоуправления </w:t>
      </w:r>
      <w:r w:rsidR="00921E36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размеры и порядок выплаты ежемесячной надбавки за особые условия муниципальной службы муниципальным служащим органов местного самоуправления </w:t>
      </w:r>
      <w:r w:rsidR="00921E36" w:rsidRPr="00FC3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особыми условиями муниципальной службы понимается деятельность муниципальных служащих, требующая высокого уровня профессионализма, компетентности и ответственности, носящая напряженный и сложный характер, связанная с постоянными психологическими и эмоциональными нагрузками и необходимостью строгого соблюдения ограничений, связанных с муниципальной службой.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формировании фонда оплаты труда муниципальных служащих предусматриваются денежные средства в размере 12 должностных окладов.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 Ежемесячная надбавка за особые условия муниципальной службы устанавливается в следующих размерах: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3"/>
        <w:gridCol w:w="2707"/>
      </w:tblGrid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ежемесячной надбавки, </w:t>
            </w:r>
            <w:proofErr w:type="gramStart"/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к должностному окладу</w:t>
            </w: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963BF3"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7C099E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9418E7"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63BF3"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2 категории</w:t>
            </w: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418E7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963BF3" w:rsidRPr="00FC3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63BF3" w:rsidRPr="00FC34B1" w:rsidTr="00D94B2B">
        <w:trPr>
          <w:tblCellSpacing w:w="0" w:type="dxa"/>
        </w:trPr>
        <w:tc>
          <w:tcPr>
            <w:tcW w:w="6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BF3" w:rsidRPr="00FC34B1" w:rsidRDefault="00963BF3" w:rsidP="003B7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Размер ежемесячной надбавки за особые условия муниципальной службы устанавливаются на календарный год, и может быть увеличен (уменьшен) в связи с изменением особых условий муниципальной службы.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6. Ежемесячная надбавка за особые условия муниципальной службы выплачивается муниципальным служащим за фактически отработанное время одновременно с выплатой им должностных окладов.</w:t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7. На размер ежемесячной надбавки за особые условия муниципальной службы начисляется районный коэффициент. Выплаченные суммы ежемесячной надбавки за особые условий муниципальной службы учитываются при исчислении средней заработной платы в соответствии с действующим законодательством.</w:t>
      </w:r>
    </w:p>
    <w:p w:rsidR="00921E36" w:rsidRPr="00FC34B1" w:rsidRDefault="00921E36" w:rsidP="003B73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9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FD084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FD084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установление и выплаты ежемесячного денежного поощрения муниципальных служащих органов местного самоуправления</w:t>
      </w:r>
    </w:p>
    <w:p w:rsidR="009F520D" w:rsidRPr="00FC34B1" w:rsidRDefault="00FD0841" w:rsidP="00074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</w:t>
      </w:r>
      <w:proofErr w:type="spellEnd"/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="000443AA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204943" w:rsidRPr="00FC34B1" w:rsidRDefault="0020494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Настоящий Порядок определяет размеры и порядок выплаты</w:t>
      </w: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ежемесячного денежного поощрения муниципальных служащих органов местного самоуправления </w:t>
      </w:r>
      <w:r w:rsidR="00FD084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Ежемесячное денежное поощрение муниципальных служащих осуществляется в целях повышения материальной заинтересованности в результатах труда, создания условий для развития творческой активности и инициативы, повышения эффективности и качества труда, ответственности в достижении поставленных целей и задач.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 формировании фонда оплаты труда муниципальных служащих предусматриваются денежные средства в размере </w:t>
      </w:r>
      <w:r w:rsidR="000745C0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Ежемесячное денежное поощрение муниципальных служащих </w:t>
      </w:r>
      <w:r w:rsidR="00FD084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выплачивается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FD084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размере от 50 до </w:t>
      </w:r>
      <w:r w:rsidR="00FE07C5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D3695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FD084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 должностного оклада.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Выплата ежемесячного денежного поощрения осуществляется на основании распоряжения (приказа) представителя нанимателя (работодателя) в соответствии и размерах, установленных в настоящем Порядке.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Представитель нанимателя (работодателя) вправе принять решение о снижении размера поощрения муниципального служащего: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7.1. По собственной инициативе на основании: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1) внесенного акта прокурорского реагирования;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 решения комиссии по соблюдению требований к служебному поведению муниципальных служащих и урегулированию конфликта интересов;</w:t>
      </w:r>
    </w:p>
    <w:p w:rsidR="009F520D" w:rsidRPr="00FC34B1" w:rsidRDefault="0020494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) актов иных контрольных и надзорных органов.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Лишение муниципального служащего поощрения полностью или снижение его размера производится распоряжением главы администрации </w:t>
      </w:r>
      <w:r w:rsidR="0020494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8. Ежемесячное денежное поощрение выплачивается муниципальным служащим за фактически отработанное время одновременно с выплатой им должностных окладов.</w:t>
      </w:r>
    </w:p>
    <w:p w:rsidR="009F520D" w:rsidRPr="00FC34B1" w:rsidRDefault="00FA0B49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 На размер ежемесячного денежного поощрения начисляется районный коэффициент, Выплаченные суммы ежемесячного денежного поощрения учитываются при исчислении средней заработной платы в соответствии с действующим законодательством.</w:t>
      </w:r>
    </w:p>
    <w:p w:rsidR="00FC34B1" w:rsidRPr="00FC34B1" w:rsidRDefault="00FC34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04B8D" w:rsidRPr="00FC34B1" w:rsidRDefault="00204B8D" w:rsidP="00FC34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10</w:t>
      </w:r>
    </w:p>
    <w:p w:rsidR="009F520D" w:rsidRPr="00FC34B1" w:rsidRDefault="009F520D" w:rsidP="00F23B48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006C98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006C98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установления и выплаты ежемесячной надбавки за классный чин муниципальным служащим органов местного самоуправления </w:t>
      </w:r>
      <w:r w:rsidR="00006C98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FC34B1">
        <w:rPr>
          <w:b w:val="0"/>
          <w:color w:val="000000" w:themeColor="text1"/>
          <w:sz w:val="28"/>
          <w:szCs w:val="28"/>
        </w:rPr>
        <w:t xml:space="preserve">1. Настоящий Порядок определяет размеры и порядок выплаты ежемесячной надбавки за классный чин муниципальным служащим органов местного самоуправления </w:t>
      </w:r>
      <w:r w:rsidR="00006C98" w:rsidRPr="00FC34B1">
        <w:rPr>
          <w:b w:val="0"/>
          <w:bCs w:val="0"/>
          <w:color w:val="000000" w:themeColor="text1"/>
          <w:sz w:val="28"/>
          <w:szCs w:val="28"/>
        </w:rPr>
        <w:t>Мулинского сельского поселения</w:t>
      </w:r>
      <w:proofErr w:type="gramStart"/>
      <w:r w:rsidR="00006C98" w:rsidRPr="00FC34B1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FC34B1">
        <w:rPr>
          <w:b w:val="0"/>
          <w:color w:val="000000" w:themeColor="text1"/>
          <w:sz w:val="28"/>
          <w:szCs w:val="28"/>
        </w:rPr>
        <w:t>,</w:t>
      </w:r>
      <w:proofErr w:type="gramEnd"/>
      <w:r w:rsidRPr="00FC34B1">
        <w:rPr>
          <w:b w:val="0"/>
          <w:color w:val="000000" w:themeColor="text1"/>
          <w:sz w:val="28"/>
          <w:szCs w:val="28"/>
        </w:rPr>
        <w:t xml:space="preserve"> присвоенный в соответствии с Законом Кировской области от 30.09.2010 № 549-ЗО «О порядке присвоения и сохранения классных чинов муниципальной службы в Кировской области»</w:t>
      </w:r>
      <w:r w:rsidR="00DC19B2" w:rsidRPr="00FC34B1">
        <w:rPr>
          <w:b w:val="0"/>
          <w:color w:val="000000" w:themeColor="text1"/>
          <w:sz w:val="28"/>
          <w:szCs w:val="28"/>
        </w:rPr>
        <w:t xml:space="preserve"> 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Ежемесячная надбавка за классный чин устанавливается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присвоенного классного чина муниципального служащего в соответствии с замещаемой должностью муниципальной службы в пределах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должностей муниципальной службы.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формировании фонда оплаты труда муниципальных служащих предусматриваются денежные средства в размере 4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Основанием для установления ежемесячной надбавки за классный чин является распоряжение (приказ) представителя нанимателя (работодателя) а для лиц, замещающих должности муниципальной службы по срочному трудовому договору, принятого на основании решения квалификационной комиссии.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временном заместительстве ежемесячная надбавка за классный чин исчисляется исходя из должностного оклада по основной работе.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6. В случае исполнения обязанностей муниципальным служащим на условиях неполного рабочего дня, выплата ему ежемесячной надбавки за классный чин производится пропорционально отработанному времени.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 Ежемесячные надбавки за классный чин муниципальным служащим устанавливаются в следующих размерах:</w:t>
      </w:r>
    </w:p>
    <w:p w:rsidR="001E602B" w:rsidRPr="00FC34B1" w:rsidRDefault="001E602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602B" w:rsidRPr="00FC34B1" w:rsidRDefault="001E602B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502D" w:rsidRPr="00FC34B1" w:rsidRDefault="00CA502D" w:rsidP="003B73C3">
      <w:pPr>
        <w:pStyle w:val="ConsPlusTitle"/>
        <w:jc w:val="center"/>
        <w:rPr>
          <w:b w:val="0"/>
          <w:sz w:val="28"/>
          <w:szCs w:val="28"/>
        </w:rPr>
      </w:pPr>
      <w:r w:rsidRPr="00FC34B1">
        <w:rPr>
          <w:b w:val="0"/>
          <w:sz w:val="28"/>
          <w:szCs w:val="28"/>
        </w:rPr>
        <w:t>РАЗМЕРЫ</w:t>
      </w:r>
    </w:p>
    <w:p w:rsidR="00CA502D" w:rsidRPr="00FC34B1" w:rsidRDefault="00CA502D" w:rsidP="003B73C3">
      <w:pPr>
        <w:pStyle w:val="ConsPlusTitle"/>
        <w:jc w:val="center"/>
        <w:rPr>
          <w:b w:val="0"/>
          <w:sz w:val="28"/>
          <w:szCs w:val="28"/>
        </w:rPr>
      </w:pPr>
      <w:r w:rsidRPr="00FC34B1">
        <w:rPr>
          <w:b w:val="0"/>
          <w:sz w:val="28"/>
          <w:szCs w:val="28"/>
        </w:rPr>
        <w:t>ЕЖЕМЕСЯЧНЫХ НАДБАВОК ЗА КЛАССНЫЙ ЧИН МУНИЦИПАЛЬНЫХ СЛУЖАЩИХ МУЛИНСКОГО СЕЛЬСКОГО ПОСЕЛЕНИЯ</w:t>
      </w:r>
    </w:p>
    <w:p w:rsidR="007E1FF1" w:rsidRPr="00FC34B1" w:rsidRDefault="007E1FF1" w:rsidP="003B73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424"/>
        <w:gridCol w:w="2884"/>
        <w:gridCol w:w="518"/>
      </w:tblGrid>
      <w:tr w:rsidR="00B47087" w:rsidRPr="00FC34B1" w:rsidTr="00B47087">
        <w:tc>
          <w:tcPr>
            <w:tcW w:w="6236" w:type="dxa"/>
            <w:gridSpan w:val="2"/>
            <w:tcBorders>
              <w:top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  <w:jc w:val="center"/>
            </w:pPr>
          </w:p>
        </w:tc>
      </w:tr>
      <w:tr w:rsidR="00B47087" w:rsidRPr="00FC34B1" w:rsidTr="00B47087">
        <w:tc>
          <w:tcPr>
            <w:tcW w:w="6236" w:type="dxa"/>
            <w:gridSpan w:val="2"/>
          </w:tcPr>
          <w:p w:rsidR="00B47087" w:rsidRPr="00FC34B1" w:rsidRDefault="00B47087" w:rsidP="005F72D1">
            <w:pPr>
              <w:pStyle w:val="ConsPlusCell"/>
              <w:jc w:val="center"/>
            </w:pPr>
          </w:p>
        </w:tc>
        <w:tc>
          <w:tcPr>
            <w:tcW w:w="3402" w:type="dxa"/>
            <w:gridSpan w:val="2"/>
          </w:tcPr>
          <w:p w:rsidR="00B47087" w:rsidRPr="00FC34B1" w:rsidRDefault="00B47087" w:rsidP="005F72D1">
            <w:pPr>
              <w:pStyle w:val="ConsPlusCell"/>
              <w:jc w:val="center"/>
            </w:pPr>
          </w:p>
        </w:tc>
      </w:tr>
      <w:tr w:rsidR="00B47087" w:rsidRPr="00FC34B1" w:rsidTr="00B4708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18" w:type="dxa"/>
          <w:trHeight w:val="400"/>
          <w:tblCellSpacing w:w="5" w:type="nil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</w:pPr>
            <w:r w:rsidRPr="00FC34B1">
              <w:t xml:space="preserve">           Наименование классного чина           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 xml:space="preserve">Надбавка </w:t>
            </w:r>
          </w:p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 xml:space="preserve">за классный чин </w:t>
            </w:r>
            <w:r w:rsidRPr="00FC34B1">
              <w:br/>
              <w:t xml:space="preserve">   (рублей в месяц)</w:t>
            </w:r>
          </w:p>
        </w:tc>
      </w:tr>
      <w:tr w:rsidR="00B47087" w:rsidRPr="00FC34B1" w:rsidTr="00B4708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18" w:type="dxa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 xml:space="preserve">Советник муниципальной службы </w:t>
            </w:r>
          </w:p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>3 класса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FE07C5" w:rsidP="005F72D1">
            <w:pPr>
              <w:pStyle w:val="ConsPlusCell"/>
              <w:jc w:val="center"/>
            </w:pPr>
            <w:r w:rsidRPr="00FC34B1">
              <w:t>1560</w:t>
            </w:r>
          </w:p>
        </w:tc>
      </w:tr>
      <w:tr w:rsidR="00B47087" w:rsidRPr="00FC34B1" w:rsidTr="00B4708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18" w:type="dxa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 xml:space="preserve">Референт муниципальной службы </w:t>
            </w:r>
          </w:p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>1 класса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FE07C5" w:rsidP="005F72D1">
            <w:pPr>
              <w:pStyle w:val="ConsPlusCell"/>
              <w:jc w:val="center"/>
            </w:pPr>
            <w:r w:rsidRPr="00FC34B1">
              <w:t>1454</w:t>
            </w:r>
          </w:p>
        </w:tc>
      </w:tr>
      <w:tr w:rsidR="00B47087" w:rsidRPr="00FC34B1" w:rsidTr="00B4708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518" w:type="dxa"/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 xml:space="preserve">Секретарь муниципальной службы </w:t>
            </w:r>
          </w:p>
          <w:p w:rsidR="00B47087" w:rsidRPr="00FC34B1" w:rsidRDefault="00B47087" w:rsidP="005F72D1">
            <w:pPr>
              <w:pStyle w:val="ConsPlusCell"/>
              <w:jc w:val="center"/>
            </w:pPr>
            <w:r w:rsidRPr="00FC34B1">
              <w:t>3 класса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87" w:rsidRPr="00FC34B1" w:rsidRDefault="00FE07C5" w:rsidP="005F72D1">
            <w:pPr>
              <w:pStyle w:val="ConsPlusCell"/>
              <w:jc w:val="center"/>
            </w:pPr>
            <w:r w:rsidRPr="00FC34B1">
              <w:t>782</w:t>
            </w:r>
          </w:p>
        </w:tc>
      </w:tr>
    </w:tbl>
    <w:p w:rsidR="00CA502D" w:rsidRPr="00FC34B1" w:rsidRDefault="00CA502D" w:rsidP="003B73C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520D" w:rsidRPr="00FC34B1" w:rsidRDefault="00CA502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Прекращение выплаты надбавки за классный чин производится при 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освобождении муниципального служащего от замещаемой должности муниципальной службы и увольнения с муниципальной службы.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9. Надбавка за классный чин устанавливается в абсолютном размере (рублях), в соответствии с присвоенным муниципальному служащему классным чином.</w:t>
      </w:r>
    </w:p>
    <w:p w:rsidR="00F23B48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10. На ежемесячную надбавку за классный чин начисляется районный коэффициент. Выплаченные суммы ежемесячной надбавки за классный чин учитываются при исчислении средней заработной платы в соответствии с действующим законодательством.</w:t>
      </w: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04943" w:rsidRPr="00FC34B1" w:rsidRDefault="0020494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11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20494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20494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9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премирования муниципальных служащих органов местного самоуправления </w:t>
      </w:r>
      <w:r w:rsidR="00204943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Настоящий порядок определяет размеры и порядок выплаты премии за выполнение особо важных и сложных заданий (далее – премия) муниципальным служащим органов местного самоуправления </w:t>
      </w:r>
      <w:r w:rsidR="00204943" w:rsidRPr="00FC3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Осуществление выплаты премии муниципальным служащим является одной из форм поощрения материального характера с целью стимулирования добросовестного исполнения муниципальным служащих должностных обязанностей, высокопроизводительного труда, развитие творческой активности и инициативы в решении задач, возложенных на органы местного самоуправления района, выполнение заданий особой важности и сложности.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3. При утверждении фонда оплаты труда на выплату премии предусматриваются денежные средства в размере двух должностных окладов в год.</w:t>
      </w:r>
    </w:p>
    <w:p w:rsidR="00F23B48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63BF3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Премия выплачивается </w:t>
      </w:r>
      <w:r w:rsidR="000745C0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ежеквартально</w:t>
      </w:r>
      <w:r w:rsidR="00F23B48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45C0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Выплата производится по окончании квартала, не</w:t>
      </w:r>
      <w:r w:rsidR="00963BF3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5C0" w:rsidRPr="00FC3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месяца следующего за кварталом.</w:t>
      </w:r>
    </w:p>
    <w:p w:rsidR="00BA1166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Сумма премии выплачивается ежемесячно в полном размере при выполнении всех пока</w:t>
      </w:r>
      <w:r w:rsidR="00BA1166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зателей.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445"/>
        <w:gridCol w:w="5747"/>
        <w:gridCol w:w="2378"/>
      </w:tblGrid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b/>
                <w:sz w:val="28"/>
                <w:szCs w:val="28"/>
              </w:rPr>
            </w:pPr>
            <w:r w:rsidRPr="00FC34B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C34B1">
              <w:rPr>
                <w:b/>
                <w:sz w:val="28"/>
                <w:szCs w:val="28"/>
              </w:rPr>
              <w:t>п</w:t>
            </w:r>
            <w:proofErr w:type="gramEnd"/>
            <w:r w:rsidRPr="00FC34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b/>
                <w:sz w:val="28"/>
                <w:szCs w:val="28"/>
              </w:rPr>
            </w:pPr>
            <w:r w:rsidRPr="00FC34B1">
              <w:rPr>
                <w:b/>
                <w:sz w:val="28"/>
                <w:szCs w:val="28"/>
              </w:rPr>
              <w:t xml:space="preserve"> Наименование показателя результативности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b/>
                <w:sz w:val="28"/>
                <w:szCs w:val="28"/>
              </w:rPr>
            </w:pPr>
            <w:r w:rsidRPr="00FC34B1">
              <w:rPr>
                <w:b/>
                <w:sz w:val="28"/>
                <w:szCs w:val="28"/>
              </w:rPr>
              <w:t>Доля показателя</w:t>
            </w:r>
          </w:p>
        </w:tc>
      </w:tr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Выполнение плана исполнения местного бюджета по доходам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</w:t>
            </w:r>
          </w:p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  0,2</w:t>
            </w:r>
          </w:p>
        </w:tc>
      </w:tr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Отсутствие просроченной кредиторской задолженности по выплате заработной платы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</w:p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  0,1</w:t>
            </w:r>
          </w:p>
        </w:tc>
      </w:tr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Рост поступлений налоговых и неналоговых доходов в бюджеты всех уровней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</w:p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  0,1</w:t>
            </w:r>
          </w:p>
        </w:tc>
      </w:tr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Отсутствие задолженности за потреблённые топливно-энергетические ресурсы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</w:t>
            </w:r>
          </w:p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  0,3</w:t>
            </w:r>
          </w:p>
        </w:tc>
      </w:tr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Отсутствие просроченной (неурегулированной) задолженности по долговым обязательствам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</w:p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  0,3</w:t>
            </w:r>
          </w:p>
        </w:tc>
      </w:tr>
      <w:tr w:rsidR="00BA1166" w:rsidRPr="00FC34B1" w:rsidTr="00204B8D">
        <w:tc>
          <w:tcPr>
            <w:tcW w:w="1548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>итого</w:t>
            </w:r>
          </w:p>
        </w:tc>
        <w:tc>
          <w:tcPr>
            <w:tcW w:w="2469" w:type="dxa"/>
          </w:tcPr>
          <w:p w:rsidR="00BA1166" w:rsidRPr="00FC34B1" w:rsidRDefault="00BA1166" w:rsidP="003B73C3">
            <w:pPr>
              <w:jc w:val="both"/>
              <w:rPr>
                <w:sz w:val="28"/>
                <w:szCs w:val="28"/>
              </w:rPr>
            </w:pPr>
            <w:r w:rsidRPr="00FC34B1">
              <w:rPr>
                <w:sz w:val="28"/>
                <w:szCs w:val="28"/>
              </w:rPr>
              <w:t xml:space="preserve">           1,0</w:t>
            </w:r>
          </w:p>
        </w:tc>
      </w:tr>
    </w:tbl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За каждый процент невыполнения показателей № 1 и 2 сумма ежемесячной премии снижается на </w:t>
      </w:r>
      <w:r w:rsidR="00DC419E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0,5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%, но не более значения, установленного по данному показателю.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невыполнении показателей № 3, 4, 5 сумма премии снижается на проценты, предусмотренные по данным показателям.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Муниципальным служащим органов местного самоуправления </w:t>
      </w:r>
      <w:r w:rsidR="00FA0B49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снижен размер премии за следующие поступки и упущения в работе: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1) нарушение трудовой дисциплины;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2) ненадлежащее исполнение должностных обязанностей;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3) непринятие мер по выполнению решений Думы, правовых актов главы района и администрации района;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4) низкую исполнительскую дисциплину.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наложении на муниципального служащего дисциплинарного взыскания в течение его действия премиальные выплаты не производятся.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За проявленную инициативу, большой личный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выполнение установленных руководителями заданий или поручений муниципальный служащий может быть единовременно премирован за счет экономии по фонду оплаты труда на эти цели.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10. Основанием для начисления и выплаты премии в отношении: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10.1.  Премия начисляется за фактически отработанное время.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Премия муниципальным служащим не выплачивается за период нахождения в ежегодном оплачиваемом отпуске, дополнительном оплачиваемом учебном отпуске, отпуске без сохранения заработной платы, в отпуске по уходу за ребенком, за период временной нетрудоспособности.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  На размер премиальных выплат начисляется районный коэффициент. Премиальные выплаты учитываются при исчислении средней заработной платы в соответствии с действующим законодательством.</w:t>
      </w: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BA1166" w:rsidRPr="00FC34B1" w:rsidRDefault="00BA1166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DC419E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иложение № 12</w:t>
      </w:r>
    </w:p>
    <w:p w:rsidR="009F520D" w:rsidRPr="00FC34B1" w:rsidRDefault="009F520D" w:rsidP="00FE07C5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963BF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963BF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F23B48" w:rsidRPr="00FC34B1" w:rsidRDefault="00F23B48" w:rsidP="00FE07C5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FE07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осуществление единовременной выплаты при предоставлении ежегодного оплачиваемого отпуска муниципальным служащим органов местного самоуправления </w:t>
      </w:r>
      <w:proofErr w:type="spellStart"/>
      <w:r w:rsidR="00963BF3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</w:t>
      </w:r>
      <w:proofErr w:type="spellEnd"/>
      <w:r w:rsidR="00963BF3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Муниципальным служащим органов местного самоуправления </w:t>
      </w:r>
      <w:r w:rsidR="00963BF3" w:rsidRPr="00FC34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единовременная выплата при предоставлении ежегодного оплачиваемого отпуска в размере двух должностных окладов.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выплаты определяется по замещаемой должности на день обращения за выплатой.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Основанием для выплаты является распоряжение (приказ) представителя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(работодателя) муниципального служащего о предоставлении ежегодного оплачиваемого отпуска и осуществлении единовременной выплаты.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разделения ежегодного оплачиваемого отпуска на части выплата производится при предоставлении любой из частей по желанию муниципального служащего.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Выплата осуществляется с учетом фактически отработанного времени в календарном году. При увольнении работника, которому осуществлена выплата до окончания календарного года, производится перерасчет размера выплаты с учетом фактически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полных месяцев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календарном году и удержанием изменения выплаченных сумм.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работника в связи с сокращением штатов удержание излишне выплаченных сумм не производится.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В случае если при увольнении работника ежегодный оплачиваемый отпуск (либо его часть) остался неиспользованным, ему вместе с денежной компенсацией за неиспользованный отпуск выплачивается единовременная денежная выплата с учетом фактически отработанного времени.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Единовременная выплата, не полученная в текущем календарном году, на следующий календарный год не переходит.</w:t>
      </w:r>
    </w:p>
    <w:p w:rsidR="00F23B48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На единовременную выплату к ежегодному оплачиваемому отпуску начисляется районный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учитывается при исчислении среднемесячной заработной платы в соответствии с действующим законодательством.</w:t>
      </w:r>
    </w:p>
    <w:p w:rsidR="00F23B48" w:rsidRPr="00FC34B1" w:rsidRDefault="00F23B4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63BF3" w:rsidRPr="00FC34B1" w:rsidRDefault="00963BF3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13</w:t>
      </w:r>
    </w:p>
    <w:p w:rsidR="003B73C3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ind w:left="6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="00011C8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="00011C8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</w:t>
      </w:r>
      <w:r w:rsidR="003B73C3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5E1C0E">
        <w:rPr>
          <w:rFonts w:ascii="Times New Roman" w:eastAsia="Times New Roman" w:hAnsi="Times New Roman" w:cs="Times New Roman"/>
          <w:color w:val="000000"/>
          <w:sz w:val="28"/>
          <w:szCs w:val="28"/>
        </w:rPr>
        <w:t>08.02.2019 № 17</w:t>
      </w:r>
      <w:bookmarkStart w:id="0" w:name="_GoBack"/>
      <w:bookmarkEnd w:id="0"/>
      <w:r w:rsidR="00E65E22">
        <w:rPr>
          <w:rFonts w:ascii="Times New Roman" w:eastAsia="Times New Roman" w:hAnsi="Times New Roman" w:cs="Times New Roman"/>
          <w:color w:val="000000"/>
          <w:sz w:val="28"/>
          <w:szCs w:val="28"/>
        </w:rPr>
        <w:t>/6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выплаты материальной помощи муниципальным служащим органов местного самоуправления </w:t>
      </w:r>
      <w:r w:rsidR="00011C81" w:rsidRPr="00FC34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Мулинского сельского поселения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Муниципальным служащим органов местного самоуправления </w:t>
      </w:r>
      <w:r w:rsidR="00011C81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Мулинского сельского поселения</w:t>
      </w: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единовременная выплата материальной помощи в размере одного должностного оклада.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материальной помощи определяется по замещаемой должности на день обращения за ее выплатой.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Основанием для выплаты материальной помощи является письменное заявление муниципального служащего с визой представителя нанимателя (работодателя).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Материальная помощь выплачивается с учетом фактически отработанного времени в календарном году. При увольнении работника, получившего материальную помощь до окончания календарного года, производится перерасчет размера материальной помощи с учетом фактически </w:t>
      </w:r>
      <w:proofErr w:type="gram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отработанных полных месяцев</w:t>
      </w:r>
      <w:proofErr w:type="gram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календарном году и удержание излишне выплаченных сумм.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увольнении работника в связи с сокращением штатов удержание излишне выплаченной материальной помощи не производится.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4. Не выплаченная материальная помощь на следующий календарный год не переходит.</w:t>
      </w:r>
    </w:p>
    <w:p w:rsidR="009F520D" w:rsidRPr="00FC34B1" w:rsidRDefault="009F520D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5. Материальная помощь не оказывается муниципальным служащим, находящимся в отпуске по уходу за ребенком до достижения им возраста трех лет.</w:t>
      </w:r>
    </w:p>
    <w:p w:rsidR="00DC419E" w:rsidRPr="00FC34B1" w:rsidRDefault="00FE07C5" w:rsidP="003B7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материальную помощь начисляется районный </w:t>
      </w:r>
      <w:proofErr w:type="gramStart"/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proofErr w:type="gramEnd"/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включается в среднемесячную заработную плату в соответствии с действующим законодательством.</w:t>
      </w:r>
    </w:p>
    <w:p w:rsidR="009F520D" w:rsidRPr="00FC34B1" w:rsidRDefault="00DC419E" w:rsidP="00DC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9F520D"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9F520D" w:rsidRPr="009F520D" w:rsidRDefault="009F520D" w:rsidP="009F5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9F520D" w:rsidRPr="009F520D" w:rsidSect="0017708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765F"/>
    <w:multiLevelType w:val="hybridMultilevel"/>
    <w:tmpl w:val="F57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A78A2"/>
    <w:multiLevelType w:val="multilevel"/>
    <w:tmpl w:val="7A92D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F00F9"/>
    <w:multiLevelType w:val="multilevel"/>
    <w:tmpl w:val="0C4E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C729A"/>
    <w:multiLevelType w:val="multilevel"/>
    <w:tmpl w:val="B22E0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4329A"/>
    <w:multiLevelType w:val="multilevel"/>
    <w:tmpl w:val="1BE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D50C4"/>
    <w:multiLevelType w:val="multilevel"/>
    <w:tmpl w:val="6A20A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34611"/>
    <w:multiLevelType w:val="multilevel"/>
    <w:tmpl w:val="907C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EF6417"/>
    <w:multiLevelType w:val="multilevel"/>
    <w:tmpl w:val="0C965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71F73"/>
    <w:multiLevelType w:val="hybridMultilevel"/>
    <w:tmpl w:val="4BF6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D"/>
    <w:rsid w:val="00006C98"/>
    <w:rsid w:val="00011C81"/>
    <w:rsid w:val="00023F98"/>
    <w:rsid w:val="000443AA"/>
    <w:rsid w:val="000745C0"/>
    <w:rsid w:val="000A5E79"/>
    <w:rsid w:val="000B61A4"/>
    <w:rsid w:val="000F32B4"/>
    <w:rsid w:val="00177087"/>
    <w:rsid w:val="001E602B"/>
    <w:rsid w:val="001E60FB"/>
    <w:rsid w:val="00204943"/>
    <w:rsid w:val="00204B8D"/>
    <w:rsid w:val="00204DCF"/>
    <w:rsid w:val="002F1B07"/>
    <w:rsid w:val="003320C5"/>
    <w:rsid w:val="00337DC0"/>
    <w:rsid w:val="00373B20"/>
    <w:rsid w:val="00393599"/>
    <w:rsid w:val="003B73C3"/>
    <w:rsid w:val="003D55CB"/>
    <w:rsid w:val="0041259B"/>
    <w:rsid w:val="004335A2"/>
    <w:rsid w:val="00462FB4"/>
    <w:rsid w:val="004A0400"/>
    <w:rsid w:val="004B7009"/>
    <w:rsid w:val="004D4D09"/>
    <w:rsid w:val="004D507A"/>
    <w:rsid w:val="004E2226"/>
    <w:rsid w:val="004F7AFF"/>
    <w:rsid w:val="005A5388"/>
    <w:rsid w:val="005D3695"/>
    <w:rsid w:val="005E1C0E"/>
    <w:rsid w:val="0060211F"/>
    <w:rsid w:val="0061135C"/>
    <w:rsid w:val="00631E2B"/>
    <w:rsid w:val="00670678"/>
    <w:rsid w:val="0067591D"/>
    <w:rsid w:val="006959B0"/>
    <w:rsid w:val="006A5C3C"/>
    <w:rsid w:val="006B3295"/>
    <w:rsid w:val="006C3015"/>
    <w:rsid w:val="006D46C6"/>
    <w:rsid w:val="006F13BA"/>
    <w:rsid w:val="0071109B"/>
    <w:rsid w:val="007C099E"/>
    <w:rsid w:val="007D272B"/>
    <w:rsid w:val="007E1FF1"/>
    <w:rsid w:val="00833E4B"/>
    <w:rsid w:val="008472C9"/>
    <w:rsid w:val="00883A4F"/>
    <w:rsid w:val="00921E36"/>
    <w:rsid w:val="009418E7"/>
    <w:rsid w:val="00947B3F"/>
    <w:rsid w:val="00963BF3"/>
    <w:rsid w:val="009F520D"/>
    <w:rsid w:val="009F7BE0"/>
    <w:rsid w:val="00A15FEB"/>
    <w:rsid w:val="00A2198D"/>
    <w:rsid w:val="00B04264"/>
    <w:rsid w:val="00B47087"/>
    <w:rsid w:val="00B96B99"/>
    <w:rsid w:val="00BA1166"/>
    <w:rsid w:val="00BB2B8C"/>
    <w:rsid w:val="00BD549C"/>
    <w:rsid w:val="00BE380A"/>
    <w:rsid w:val="00C62DE0"/>
    <w:rsid w:val="00C82A01"/>
    <w:rsid w:val="00CA38E9"/>
    <w:rsid w:val="00CA502D"/>
    <w:rsid w:val="00CE2B72"/>
    <w:rsid w:val="00D41E45"/>
    <w:rsid w:val="00D4777E"/>
    <w:rsid w:val="00D94B2B"/>
    <w:rsid w:val="00DB0906"/>
    <w:rsid w:val="00DC19B2"/>
    <w:rsid w:val="00DC419E"/>
    <w:rsid w:val="00DD5472"/>
    <w:rsid w:val="00DE2E44"/>
    <w:rsid w:val="00E346AD"/>
    <w:rsid w:val="00E4179B"/>
    <w:rsid w:val="00E65E22"/>
    <w:rsid w:val="00E67EB5"/>
    <w:rsid w:val="00E863E6"/>
    <w:rsid w:val="00E90051"/>
    <w:rsid w:val="00EC7C75"/>
    <w:rsid w:val="00ED7D7D"/>
    <w:rsid w:val="00EE63C2"/>
    <w:rsid w:val="00F23B48"/>
    <w:rsid w:val="00F24D76"/>
    <w:rsid w:val="00F36AD6"/>
    <w:rsid w:val="00F558F2"/>
    <w:rsid w:val="00FA0B49"/>
    <w:rsid w:val="00FA10D5"/>
    <w:rsid w:val="00FC34B1"/>
    <w:rsid w:val="00FD0841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20D"/>
  </w:style>
  <w:style w:type="table" w:styleId="a4">
    <w:name w:val="Table Grid"/>
    <w:basedOn w:val="a1"/>
    <w:rsid w:val="004F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s3">
    <w:name w:val="s3"/>
    <w:basedOn w:val="a0"/>
    <w:rsid w:val="00833E4B"/>
  </w:style>
  <w:style w:type="paragraph" w:customStyle="1" w:styleId="p3">
    <w:name w:val="p3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33E4B"/>
  </w:style>
  <w:style w:type="paragraph" w:customStyle="1" w:styleId="p7">
    <w:name w:val="p7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3E4B"/>
  </w:style>
  <w:style w:type="paragraph" w:customStyle="1" w:styleId="p13">
    <w:name w:val="p13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4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3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863E6"/>
    <w:pPr>
      <w:shd w:val="clear" w:color="auto" w:fill="FFFFFF"/>
      <w:tabs>
        <w:tab w:val="left" w:leader="underscore" w:pos="0"/>
      </w:tabs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863E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p2">
    <w:name w:val="p2"/>
    <w:basedOn w:val="a"/>
    <w:rsid w:val="002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5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1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520D"/>
  </w:style>
  <w:style w:type="table" w:styleId="a4">
    <w:name w:val="Table Grid"/>
    <w:basedOn w:val="a1"/>
    <w:rsid w:val="004F7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s3">
    <w:name w:val="s3"/>
    <w:basedOn w:val="a0"/>
    <w:rsid w:val="00833E4B"/>
  </w:style>
  <w:style w:type="paragraph" w:customStyle="1" w:styleId="p3">
    <w:name w:val="p3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33E4B"/>
  </w:style>
  <w:style w:type="paragraph" w:customStyle="1" w:styleId="p7">
    <w:name w:val="p7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3E4B"/>
  </w:style>
  <w:style w:type="paragraph" w:customStyle="1" w:styleId="p13">
    <w:name w:val="p13"/>
    <w:basedOn w:val="a"/>
    <w:rsid w:val="0083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46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3C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863E6"/>
    <w:pPr>
      <w:shd w:val="clear" w:color="auto" w:fill="FFFFFF"/>
      <w:tabs>
        <w:tab w:val="left" w:leader="underscore" w:pos="0"/>
      </w:tabs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863E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p2">
    <w:name w:val="p2"/>
    <w:basedOn w:val="a"/>
    <w:rsid w:val="002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0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A5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A50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352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AB7D-7509-4858-A77C-94DC0636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3</cp:revision>
  <cp:lastPrinted>2019-02-06T10:22:00Z</cp:lastPrinted>
  <dcterms:created xsi:type="dcterms:W3CDTF">2019-02-14T08:42:00Z</dcterms:created>
  <dcterms:modified xsi:type="dcterms:W3CDTF">2019-02-15T06:57:00Z</dcterms:modified>
</cp:coreProperties>
</file>