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E" w:rsidRPr="00E908DE" w:rsidRDefault="00E908DE" w:rsidP="009D01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01A4" w:rsidRPr="009D01A4" w:rsidRDefault="009D01A4" w:rsidP="009D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9D01A4">
        <w:rPr>
          <w:rFonts w:ascii="Times New Roman" w:hAnsi="Times New Roman" w:cs="Times New Roman"/>
          <w:b/>
          <w:sz w:val="28"/>
          <w:szCs w:val="28"/>
        </w:rPr>
        <w:t xml:space="preserve">СОВЕТ НАРОДНЫХ </w:t>
      </w:r>
      <w:r w:rsidRPr="009D01A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ДЕПУТАТОВ </w:t>
      </w:r>
    </w:p>
    <w:p w:rsidR="009D01A4" w:rsidRPr="009D01A4" w:rsidRDefault="009D01A4" w:rsidP="009D01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4"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ТРОИЦКОГО СЕЛЬСКОГО ПОСЕЛЕНИЯ</w:t>
      </w:r>
    </w:p>
    <w:p w:rsidR="009D01A4" w:rsidRPr="009D01A4" w:rsidRDefault="009D01A4" w:rsidP="009D01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ЛИСКИНСКОГО МУНИЦИПАЛЬНОГО РАЙОНА </w:t>
      </w:r>
    </w:p>
    <w:p w:rsidR="009D01A4" w:rsidRPr="009D01A4" w:rsidRDefault="009D01A4" w:rsidP="009D01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ВОРОНЕЖСКОЙ ОБЛАСТИ</w:t>
      </w:r>
    </w:p>
    <w:p w:rsidR="009D01A4" w:rsidRPr="009D01A4" w:rsidRDefault="009D01A4" w:rsidP="009D01A4">
      <w:pPr>
        <w:tabs>
          <w:tab w:val="left" w:pos="41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D01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01A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D01A4" w:rsidRPr="009D01A4" w:rsidRDefault="00400912" w:rsidP="009D01A4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12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65pt;width:463.25pt;height:0;z-index:251656704" o:connectortype="straight"/>
        </w:pic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01A4">
        <w:rPr>
          <w:rFonts w:ascii="Times New Roman" w:hAnsi="Times New Roman" w:cs="Times New Roman"/>
          <w:sz w:val="28"/>
          <w:szCs w:val="28"/>
        </w:rPr>
        <w:t>от «</w:t>
      </w:r>
      <w:r w:rsidR="00E908DE" w:rsidRPr="00E908DE">
        <w:rPr>
          <w:rFonts w:ascii="Times New Roman" w:hAnsi="Times New Roman" w:cs="Times New Roman"/>
          <w:sz w:val="28"/>
          <w:szCs w:val="28"/>
        </w:rPr>
        <w:t>_</w:t>
      </w:r>
      <w:r w:rsidR="00E908D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9D0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DE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9D01A4">
        <w:rPr>
          <w:rFonts w:ascii="Times New Roman" w:hAnsi="Times New Roman" w:cs="Times New Roman"/>
          <w:sz w:val="28"/>
          <w:szCs w:val="28"/>
        </w:rPr>
        <w:t xml:space="preserve">  201</w:t>
      </w:r>
      <w:r w:rsidR="00E908D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D01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08DE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 программы </w: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«Комплексное развитие систем </w: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коммунальной инфраструктуры </w:t>
      </w:r>
    </w:p>
    <w:p w:rsid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Троицкого сельского поселения </w:t>
      </w:r>
    </w:p>
    <w:p w:rsid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Лискинского муниципального района </w: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Воронежской области </w:t>
      </w: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</w:t>
      </w:r>
      <w:r w:rsidR="005A7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D01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D01A4" w:rsidRPr="009D01A4" w:rsidRDefault="009D01A4" w:rsidP="009D01A4">
      <w:pPr>
        <w:tabs>
          <w:tab w:val="left" w:pos="415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1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01A4" w:rsidRPr="009D01A4" w:rsidRDefault="009D01A4" w:rsidP="009D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01A4">
        <w:rPr>
          <w:rFonts w:ascii="Times New Roman" w:hAnsi="Times New Roman" w:cs="Times New Roman"/>
          <w:sz w:val="28"/>
          <w:szCs w:val="28"/>
        </w:rPr>
        <w:t>Совет народных депутатов Троицкого сельского поселения Лискинского муниципального района Воронежской области</w:t>
      </w:r>
    </w:p>
    <w:p w:rsidR="009D01A4" w:rsidRPr="009D01A4" w:rsidRDefault="009D01A4" w:rsidP="009D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1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01A4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9D01A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01A4" w:rsidRPr="009D01A4" w:rsidRDefault="009D01A4" w:rsidP="009D01A4">
      <w:p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01A4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«Комплексное развитие систем коммунальной </w:t>
      </w:r>
    </w:p>
    <w:p w:rsidR="009D01A4" w:rsidRPr="009D01A4" w:rsidRDefault="009D01A4" w:rsidP="009D01A4">
      <w:p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инфраструктуры Троицкого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Лискинского муниципального района Воронежской области </w:t>
      </w: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01A4" w:rsidRPr="009D01A4" w:rsidRDefault="005A7759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1A4" w:rsidRPr="009D01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D01A4" w:rsidRPr="009D01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01A4" w:rsidRPr="009D01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9D01A4"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D01A4" w:rsidRPr="009D01A4" w:rsidRDefault="005A7759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D01A4"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>3.Решение вступает в силу с момента его обнародования.</w:t>
      </w: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9D01A4">
        <w:rPr>
          <w:rFonts w:ascii="Times New Roman" w:hAnsi="Times New Roman" w:cs="Times New Roman"/>
          <w:sz w:val="28"/>
          <w:szCs w:val="28"/>
        </w:rPr>
        <w:t>Троицкого</w:t>
      </w:r>
    </w:p>
    <w:p w:rsidR="009D01A4" w:rsidRDefault="009D01A4" w:rsidP="009D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D0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9D01A4">
        <w:rPr>
          <w:rFonts w:ascii="Times New Roman" w:hAnsi="Times New Roman" w:cs="Times New Roman"/>
          <w:sz w:val="28"/>
          <w:szCs w:val="28"/>
        </w:rPr>
        <w:t>В.И.Шумский</w:t>
      </w:r>
    </w:p>
    <w:p w:rsidR="009D01A4" w:rsidRDefault="009D01A4" w:rsidP="009D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A4" w:rsidRDefault="009D01A4" w:rsidP="009D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И.И.Мазницын</w:t>
      </w:r>
      <w:proofErr w:type="spellEnd"/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Default="009D01A4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7D9" w:rsidRDefault="002967D9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7D9" w:rsidRPr="009D01A4" w:rsidRDefault="002967D9" w:rsidP="009D0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1A4" w:rsidRPr="009D01A4" w:rsidRDefault="009D01A4" w:rsidP="009D01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248"/>
        <w:gridCol w:w="5889"/>
      </w:tblGrid>
      <w:tr w:rsidR="00F513C7" w:rsidTr="00F513C7">
        <w:tc>
          <w:tcPr>
            <w:tcW w:w="4248" w:type="dxa"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hideMark/>
          </w:tcPr>
          <w:p w:rsidR="00F513C7" w:rsidRDefault="00F513C7" w:rsidP="00E90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1 к решению Совета народных депутатов Троицкого сельского поселения  Лискинского муниципального района Воронежской области от  </w:t>
            </w:r>
            <w:r w:rsidR="00E908DE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E908DE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«Об утверждении программы «Комплексное развитие систем коммунальной инфраструктуры Троицкого сельского поселения Лискинского района Воронежской области   на 2017-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2030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.г.»»</w:t>
            </w:r>
          </w:p>
        </w:tc>
      </w:tr>
    </w:tbl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«КОМПЛЕКСНОЕ РАЗВИТИЕ 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СИСТЕМ  КОММУНАЛЬНОЙ ИНФРАСТРУКТУРЫ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Троицкого сельского поселения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Лискинского района Воронежской области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b/>
            <w:sz w:val="40"/>
            <w:szCs w:val="40"/>
          </w:rPr>
          <w:t>2030 г</w:t>
        </w:r>
      </w:smartTag>
      <w:r>
        <w:rPr>
          <w:rFonts w:ascii="Times New Roman" w:hAnsi="Times New Roman"/>
          <w:b/>
          <w:sz w:val="40"/>
          <w:szCs w:val="40"/>
        </w:rPr>
        <w:t>.г.»</w:t>
      </w: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513C7" w:rsidRDefault="00F513C7" w:rsidP="00F513C7">
      <w:pPr>
        <w:pStyle w:val="af8"/>
        <w:keepNext w:val="0"/>
        <w:keepLines w:val="0"/>
        <w:pageBreakBefore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513C7" w:rsidRDefault="00400912" w:rsidP="00F513C7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 w:rsidRPr="00400912">
        <w:rPr>
          <w:rFonts w:ascii="Times New Roman" w:hAnsi="Times New Roman"/>
        </w:rPr>
        <w:fldChar w:fldCharType="begin"/>
      </w:r>
      <w:r w:rsidR="00F513C7">
        <w:rPr>
          <w:rFonts w:ascii="Times New Roman" w:hAnsi="Times New Roman"/>
        </w:rPr>
        <w:instrText xml:space="preserve"> TOC \o "1-3" \h \z \u </w:instrText>
      </w:r>
      <w:r w:rsidRPr="00400912">
        <w:rPr>
          <w:rFonts w:ascii="Times New Roman" w:hAnsi="Times New Roman"/>
        </w:rPr>
        <w:fldChar w:fldCharType="separate"/>
      </w:r>
      <w:hyperlink r:id="rId5" w:anchor="_Toc278805424" w:history="1">
        <w:r w:rsidR="00F513C7">
          <w:rPr>
            <w:rStyle w:val="a4"/>
            <w:noProof/>
          </w:rPr>
          <w:t>ПАСПОРТ ПРОГРАММЫ</w:t>
        </w:r>
        <w:r w:rsidR="00F513C7">
          <w:rPr>
            <w:rStyle w:val="a4"/>
            <w:noProof/>
            <w:webHidden/>
          </w:rPr>
          <w:tab/>
        </w:r>
        <w:r>
          <w:rPr>
            <w:rStyle w:val="a4"/>
            <w:noProof/>
            <w:webHidden/>
          </w:rPr>
          <w:fldChar w:fldCharType="begin"/>
        </w:r>
        <w:r w:rsidR="00F513C7">
          <w:rPr>
            <w:rStyle w:val="a4"/>
            <w:noProof/>
            <w:webHidden/>
          </w:rPr>
          <w:instrText xml:space="preserve"> PAGEREF _Toc278805424 \h </w:instrText>
        </w:r>
        <w:r>
          <w:rPr>
            <w:rStyle w:val="a4"/>
            <w:noProof/>
            <w:webHidden/>
          </w:rPr>
        </w:r>
        <w:r>
          <w:rPr>
            <w:rStyle w:val="a4"/>
            <w:noProof/>
            <w:webHidden/>
          </w:rPr>
          <w:fldChar w:fldCharType="separate"/>
        </w:r>
        <w:r w:rsidR="00F513C7">
          <w:rPr>
            <w:rStyle w:val="a4"/>
            <w:noProof/>
            <w:webHidden/>
          </w:rPr>
          <w:t>3</w:t>
        </w:r>
        <w:r>
          <w:rPr>
            <w:rStyle w:val="a4"/>
            <w:noProof/>
            <w:webHidden/>
          </w:rPr>
          <w:fldChar w:fldCharType="end"/>
        </w:r>
      </w:hyperlink>
    </w:p>
    <w:p w:rsidR="00F513C7" w:rsidRDefault="00400912" w:rsidP="00F513C7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r:id="rId6" w:anchor="_Toc278805425" w:history="1">
        <w:r w:rsidR="00F513C7">
          <w:rPr>
            <w:rStyle w:val="a4"/>
            <w:noProof/>
          </w:rPr>
          <w:t>ВВЕДЕНИЕ</w:t>
        </w:r>
        <w:r w:rsidR="00F513C7">
          <w:rPr>
            <w:rStyle w:val="a4"/>
            <w:noProof/>
            <w:webHidden/>
          </w:rPr>
          <w:tab/>
        </w:r>
        <w:r>
          <w:rPr>
            <w:rStyle w:val="a4"/>
            <w:noProof/>
            <w:webHidden/>
          </w:rPr>
          <w:fldChar w:fldCharType="begin"/>
        </w:r>
        <w:r w:rsidR="00F513C7">
          <w:rPr>
            <w:rStyle w:val="a4"/>
            <w:noProof/>
            <w:webHidden/>
          </w:rPr>
          <w:instrText xml:space="preserve"> PAGEREF _Toc278805425 \h </w:instrText>
        </w:r>
        <w:r>
          <w:rPr>
            <w:rStyle w:val="a4"/>
            <w:noProof/>
            <w:webHidden/>
          </w:rPr>
        </w:r>
        <w:r>
          <w:rPr>
            <w:rStyle w:val="a4"/>
            <w:noProof/>
            <w:webHidden/>
          </w:rPr>
          <w:fldChar w:fldCharType="separate"/>
        </w:r>
        <w:r w:rsidR="00F513C7">
          <w:rPr>
            <w:rStyle w:val="a4"/>
            <w:noProof/>
            <w:webHidden/>
          </w:rPr>
          <w:t>6</w:t>
        </w:r>
        <w:r>
          <w:rPr>
            <w:rStyle w:val="a4"/>
            <w:noProof/>
            <w:webHidden/>
          </w:rPr>
          <w:fldChar w:fldCharType="end"/>
        </w:r>
      </w:hyperlink>
    </w:p>
    <w:p w:rsidR="00F513C7" w:rsidRDefault="00400912" w:rsidP="00F513C7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r:id="rId7" w:anchor="_Toc278805426" w:history="1">
        <w:r w:rsidR="00F513C7">
          <w:rPr>
            <w:rStyle w:val="a4"/>
            <w:noProof/>
          </w:rPr>
          <w:t>РАЗДЕЛ 1. Анализ существующего состояния систем коммунальной инфраструктуры</w:t>
        </w:r>
        <w:r w:rsidR="00F513C7">
          <w:rPr>
            <w:rStyle w:val="a4"/>
            <w:noProof/>
            <w:webHidden/>
          </w:rPr>
          <w:tab/>
          <w:t>8</w:t>
        </w:r>
      </w:hyperlink>
    </w:p>
    <w:p w:rsidR="00F513C7" w:rsidRDefault="00400912" w:rsidP="00F513C7">
      <w:pPr>
        <w:pStyle w:val="21"/>
        <w:tabs>
          <w:tab w:val="left" w:pos="960"/>
        </w:tabs>
        <w:rPr>
          <w:b w:val="0"/>
          <w:sz w:val="24"/>
          <w:szCs w:val="24"/>
        </w:rPr>
      </w:pPr>
      <w:hyperlink r:id="rId8" w:anchor="_Toc278805427" w:history="1">
        <w:r w:rsidR="00F513C7">
          <w:rPr>
            <w:rStyle w:val="a4"/>
          </w:rPr>
          <w:t>1.1.</w:t>
        </w:r>
        <w:r w:rsidR="00F513C7">
          <w:rPr>
            <w:rStyle w:val="a4"/>
            <w:b w:val="0"/>
            <w:sz w:val="24"/>
            <w:szCs w:val="24"/>
          </w:rPr>
          <w:tab/>
        </w:r>
        <w:r w:rsidR="00F513C7">
          <w:rPr>
            <w:rStyle w:val="a4"/>
          </w:rPr>
          <w:t>Краткая характеристика муниципального образования</w:t>
        </w:r>
        <w:r w:rsidR="00F513C7">
          <w:rPr>
            <w:rStyle w:val="a4"/>
            <w:webHidden/>
          </w:rPr>
          <w:tab/>
          <w:t>8</w:t>
        </w:r>
      </w:hyperlink>
    </w:p>
    <w:p w:rsidR="00F513C7" w:rsidRDefault="00400912" w:rsidP="00F513C7">
      <w:pPr>
        <w:pStyle w:val="21"/>
        <w:tabs>
          <w:tab w:val="left" w:pos="960"/>
        </w:tabs>
        <w:rPr>
          <w:b w:val="0"/>
          <w:sz w:val="24"/>
          <w:szCs w:val="24"/>
        </w:rPr>
      </w:pPr>
      <w:hyperlink r:id="rId9" w:anchor="_Toc278805428" w:history="1">
        <w:r w:rsidR="00F513C7">
          <w:rPr>
            <w:rStyle w:val="a4"/>
          </w:rPr>
          <w:t>1.2.</w:t>
        </w:r>
        <w:r w:rsidR="00F513C7">
          <w:rPr>
            <w:rStyle w:val="a4"/>
            <w:b w:val="0"/>
            <w:sz w:val="24"/>
            <w:szCs w:val="24"/>
          </w:rPr>
          <w:tab/>
        </w:r>
        <w:r w:rsidR="00F513C7">
          <w:rPr>
            <w:rStyle w:val="a4"/>
          </w:rPr>
          <w:t>Существующая организация систем коммунальной инфраструктуры</w:t>
        </w:r>
        <w:r w:rsidR="00F513C7">
          <w:rPr>
            <w:rStyle w:val="a4"/>
            <w:webHidden/>
          </w:rPr>
          <w:tab/>
          <w:t>8</w:t>
        </w:r>
      </w:hyperlink>
    </w:p>
    <w:p w:rsidR="00F513C7" w:rsidRDefault="00400912" w:rsidP="00F513C7">
      <w:pPr>
        <w:pStyle w:val="31"/>
        <w:tabs>
          <w:tab w:val="left" w:pos="1200"/>
          <w:tab w:val="right" w:leader="underscore" w:pos="9911"/>
        </w:tabs>
        <w:rPr>
          <w:rStyle w:val="a4"/>
          <w:noProof/>
        </w:rPr>
      </w:pPr>
      <w:hyperlink r:id="rId10" w:anchor="_Toc278805429" w:history="1">
        <w:r w:rsidR="00F513C7">
          <w:rPr>
            <w:rStyle w:val="a4"/>
            <w:b/>
            <w:noProof/>
          </w:rPr>
          <w:t>1.2.1.</w:t>
        </w:r>
        <w:r w:rsidR="00F513C7">
          <w:rPr>
            <w:rStyle w:val="a4"/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="00F513C7">
          <w:rPr>
            <w:rStyle w:val="a4"/>
            <w:b/>
            <w:noProof/>
          </w:rPr>
          <w:t>Электроснабжение</w:t>
        </w:r>
        <w:r w:rsidR="00F513C7">
          <w:rPr>
            <w:rStyle w:val="a4"/>
            <w:noProof/>
            <w:webHidden/>
          </w:rPr>
          <w:tab/>
          <w:t>9</w:t>
        </w:r>
      </w:hyperlink>
    </w:p>
    <w:p w:rsidR="00F513C7" w:rsidRDefault="00400912" w:rsidP="00F513C7">
      <w:pPr>
        <w:pStyle w:val="31"/>
        <w:tabs>
          <w:tab w:val="left" w:pos="1200"/>
          <w:tab w:val="right" w:leader="underscore" w:pos="9911"/>
        </w:tabs>
        <w:rPr>
          <w:rStyle w:val="a4"/>
          <w:noProof/>
        </w:rPr>
      </w:pPr>
      <w:hyperlink r:id="rId11" w:anchor="_Toc278805431" w:history="1">
        <w:r w:rsidR="00F513C7">
          <w:rPr>
            <w:rStyle w:val="a4"/>
            <w:b/>
            <w:noProof/>
          </w:rPr>
          <w:t>1.2.2.</w:t>
        </w:r>
        <w:r w:rsidR="00F513C7">
          <w:rPr>
            <w:rStyle w:val="a4"/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="00F513C7">
          <w:rPr>
            <w:rStyle w:val="a4"/>
            <w:b/>
            <w:noProof/>
          </w:rPr>
          <w:t>Газоснабжение</w:t>
        </w:r>
        <w:r w:rsidR="00F513C7">
          <w:rPr>
            <w:rStyle w:val="a4"/>
            <w:noProof/>
            <w:webHidden/>
          </w:rPr>
          <w:tab/>
          <w:t>10</w:t>
        </w:r>
      </w:hyperlink>
    </w:p>
    <w:p w:rsidR="00F513C7" w:rsidRDefault="00400912" w:rsidP="00F513C7">
      <w:pPr>
        <w:pStyle w:val="31"/>
        <w:tabs>
          <w:tab w:val="left" w:pos="1200"/>
          <w:tab w:val="right" w:leader="underscore" w:pos="9911"/>
        </w:tabs>
        <w:rPr>
          <w:rFonts w:ascii="Times New Roman" w:hAnsi="Times New Roman"/>
          <w:i w:val="0"/>
          <w:iCs w:val="0"/>
          <w:sz w:val="24"/>
          <w:szCs w:val="24"/>
        </w:rPr>
      </w:pPr>
      <w:hyperlink r:id="rId12" w:anchor="_Toc278805431" w:history="1">
        <w:r w:rsidR="00F513C7">
          <w:rPr>
            <w:rStyle w:val="a4"/>
            <w:b/>
            <w:noProof/>
          </w:rPr>
          <w:t>1.2.3.</w:t>
        </w:r>
        <w:r w:rsidR="00F513C7">
          <w:rPr>
            <w:rStyle w:val="a4"/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="00F513C7">
          <w:rPr>
            <w:rStyle w:val="a4"/>
            <w:b/>
            <w:noProof/>
          </w:rPr>
          <w:t>Водоснабжение</w:t>
        </w:r>
        <w:r w:rsidR="00F513C7">
          <w:rPr>
            <w:rStyle w:val="a4"/>
            <w:noProof/>
            <w:webHidden/>
          </w:rPr>
          <w:tab/>
          <w:t>11</w:t>
        </w:r>
      </w:hyperlink>
    </w:p>
    <w:p w:rsidR="00F513C7" w:rsidRDefault="00400912" w:rsidP="00F513C7">
      <w:pPr>
        <w:pStyle w:val="31"/>
        <w:tabs>
          <w:tab w:val="left" w:pos="1200"/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r:id="rId13" w:anchor="_Toc278805433" w:history="1">
        <w:r w:rsidR="00F513C7">
          <w:rPr>
            <w:rStyle w:val="a4"/>
            <w:b/>
            <w:noProof/>
          </w:rPr>
          <w:t>1.2.4.</w:t>
        </w:r>
        <w:r w:rsidR="00F513C7">
          <w:rPr>
            <w:rStyle w:val="a4"/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="00F513C7">
          <w:rPr>
            <w:rStyle w:val="a4"/>
            <w:b/>
            <w:noProof/>
          </w:rPr>
          <w:t>Сбор и вывоз  твердых бытовых отходов (ТБО)</w:t>
        </w:r>
        <w:r w:rsidR="00F513C7">
          <w:rPr>
            <w:rStyle w:val="a4"/>
            <w:noProof/>
            <w:webHidden/>
          </w:rPr>
          <w:tab/>
          <w:t>12</w:t>
        </w:r>
      </w:hyperlink>
    </w:p>
    <w:p w:rsidR="00F513C7" w:rsidRDefault="00400912" w:rsidP="00F513C7">
      <w:pPr>
        <w:pStyle w:val="21"/>
        <w:tabs>
          <w:tab w:val="left" w:pos="960"/>
        </w:tabs>
        <w:rPr>
          <w:b w:val="0"/>
          <w:sz w:val="24"/>
          <w:szCs w:val="24"/>
        </w:rPr>
      </w:pPr>
      <w:hyperlink r:id="rId14" w:anchor="_Toc278805434" w:history="1">
        <w:r w:rsidR="00F513C7">
          <w:rPr>
            <w:rStyle w:val="a4"/>
          </w:rPr>
          <w:t>1.3.</w:t>
        </w:r>
        <w:r w:rsidR="00F513C7">
          <w:rPr>
            <w:rStyle w:val="a4"/>
            <w:b w:val="0"/>
            <w:sz w:val="24"/>
            <w:szCs w:val="24"/>
          </w:rPr>
          <w:tab/>
        </w:r>
        <w:r w:rsidR="00F513C7">
          <w:rPr>
            <w:rStyle w:val="a4"/>
          </w:rPr>
          <w:t>Общая оценка состояния систем коммунальной инфраструктуры и прогноз перспектив их развития на период 2012-2016 г.г.</w:t>
        </w:r>
        <w:r w:rsidR="00F513C7">
          <w:rPr>
            <w:rStyle w:val="a4"/>
            <w:webHidden/>
          </w:rPr>
          <w:tab/>
          <w:t>13</w:t>
        </w:r>
      </w:hyperlink>
    </w:p>
    <w:p w:rsidR="00F513C7" w:rsidRDefault="00400912" w:rsidP="00F513C7">
      <w:pPr>
        <w:pStyle w:val="21"/>
        <w:tabs>
          <w:tab w:val="left" w:pos="960"/>
        </w:tabs>
        <w:rPr>
          <w:b w:val="0"/>
          <w:sz w:val="24"/>
          <w:szCs w:val="24"/>
        </w:rPr>
      </w:pPr>
      <w:hyperlink r:id="rId15" w:anchor="_Toc278805435" w:history="1">
        <w:r w:rsidR="00F513C7">
          <w:rPr>
            <w:rStyle w:val="a4"/>
          </w:rPr>
          <w:t>1.4.</w:t>
        </w:r>
        <w:r w:rsidR="00F513C7">
          <w:rPr>
            <w:rStyle w:val="a4"/>
            <w:b w:val="0"/>
            <w:sz w:val="24"/>
            <w:szCs w:val="24"/>
          </w:rPr>
          <w:tab/>
        </w:r>
        <w:r w:rsidR="00F513C7">
          <w:rPr>
            <w:rStyle w:val="a4"/>
          </w:rPr>
          <w:t>Стратегия ценовой политики в сфере коммунальных услуг на период действия Программы</w:t>
        </w:r>
        <w:r w:rsidR="00F513C7">
          <w:rPr>
            <w:rStyle w:val="a4"/>
            <w:webHidden/>
          </w:rPr>
          <w:tab/>
          <w:t>14</w:t>
        </w:r>
      </w:hyperlink>
    </w:p>
    <w:p w:rsidR="00F513C7" w:rsidRDefault="00400912" w:rsidP="00F513C7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r:id="rId16" w:anchor="_Toc278805436" w:history="1">
        <w:r w:rsidR="00F513C7">
          <w:rPr>
            <w:rStyle w:val="a4"/>
            <w:noProof/>
          </w:rPr>
          <w:t>РАЗДЕЛ 2. Мероприятия Программы</w:t>
        </w:r>
        <w:r w:rsidR="00F513C7">
          <w:rPr>
            <w:rStyle w:val="a4"/>
            <w:noProof/>
            <w:webHidden/>
          </w:rPr>
          <w:tab/>
          <w:t>16</w:t>
        </w:r>
      </w:hyperlink>
    </w:p>
    <w:p w:rsidR="00F513C7" w:rsidRDefault="00400912" w:rsidP="00F513C7">
      <w:pPr>
        <w:pStyle w:val="21"/>
        <w:rPr>
          <w:b w:val="0"/>
          <w:sz w:val="24"/>
          <w:szCs w:val="24"/>
        </w:rPr>
      </w:pPr>
      <w:hyperlink r:id="rId17" w:anchor="_Toc278805437" w:history="1">
        <w:r w:rsidR="00F513C7">
          <w:rPr>
            <w:rStyle w:val="a4"/>
          </w:rPr>
          <w:t>2.1. Перечень мероприятий для инвестиционных программ</w:t>
        </w:r>
        <w:r w:rsidR="00F513C7">
          <w:rPr>
            <w:rStyle w:val="a4"/>
            <w:webHidden/>
          </w:rPr>
          <w:tab/>
          <w:t>16</w:t>
        </w:r>
      </w:hyperlink>
    </w:p>
    <w:p w:rsidR="00F513C7" w:rsidRDefault="00400912" w:rsidP="00F513C7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r:id="rId18" w:anchor="_Toc278805438" w:history="1">
        <w:r w:rsidR="00F513C7">
          <w:rPr>
            <w:rStyle w:val="a4"/>
            <w:b/>
            <w:noProof/>
          </w:rPr>
          <w:t>2.1.1. Мероприятия системы электроснабжения</w:t>
        </w:r>
        <w:r w:rsidR="00F513C7">
          <w:rPr>
            <w:rStyle w:val="a4"/>
            <w:noProof/>
            <w:webHidden/>
          </w:rPr>
          <w:tab/>
          <w:t>16</w:t>
        </w:r>
      </w:hyperlink>
    </w:p>
    <w:p w:rsidR="00F513C7" w:rsidRDefault="00400912" w:rsidP="00F513C7">
      <w:pPr>
        <w:pStyle w:val="31"/>
        <w:tabs>
          <w:tab w:val="right" w:leader="underscore" w:pos="9911"/>
        </w:tabs>
        <w:rPr>
          <w:rStyle w:val="a4"/>
        </w:rPr>
      </w:pPr>
      <w:hyperlink r:id="rId19" w:anchor="_Toc278805439" w:history="1">
        <w:r w:rsidR="00F513C7">
          <w:rPr>
            <w:rStyle w:val="a4"/>
            <w:b/>
            <w:noProof/>
          </w:rPr>
          <w:t>2.1.2. Мероприятия системы водоснабжения</w:t>
        </w:r>
        <w:r w:rsidR="00F513C7">
          <w:rPr>
            <w:rStyle w:val="a4"/>
            <w:noProof/>
            <w:webHidden/>
          </w:rPr>
          <w:tab/>
          <w:t>16</w:t>
        </w:r>
      </w:hyperlink>
    </w:p>
    <w:p w:rsidR="00F513C7" w:rsidRDefault="00F513C7" w:rsidP="00F513C7">
      <w:pPr>
        <w:rPr>
          <w:b/>
          <w:i/>
          <w:sz w:val="20"/>
          <w:szCs w:val="20"/>
        </w:rPr>
      </w:pPr>
      <w:r>
        <w:t xml:space="preserve">        </w:t>
      </w:r>
      <w:r>
        <w:rPr>
          <w:b/>
          <w:i/>
          <w:sz w:val="20"/>
          <w:szCs w:val="20"/>
          <w:u w:val="single"/>
        </w:rPr>
        <w:t xml:space="preserve"> 2.1.3. Строительство артезианской скважины__________________________________________________</w:t>
      </w:r>
      <w:r>
        <w:rPr>
          <w:i/>
          <w:sz w:val="20"/>
          <w:szCs w:val="20"/>
          <w:u w:val="single"/>
        </w:rPr>
        <w:t>16</w:t>
      </w:r>
    </w:p>
    <w:p w:rsidR="00F513C7" w:rsidRDefault="00400912" w:rsidP="00F513C7">
      <w:pPr>
        <w:pStyle w:val="21"/>
        <w:rPr>
          <w:b w:val="0"/>
          <w:sz w:val="24"/>
          <w:szCs w:val="24"/>
        </w:rPr>
      </w:pPr>
      <w:hyperlink r:id="rId20" w:anchor="_Toc278805441" w:history="1">
        <w:r w:rsidR="00F513C7">
          <w:rPr>
            <w:rStyle w:val="a4"/>
          </w:rPr>
          <w:t>2.2. Основные требования к техническим заданиям на разработку инвестиционных программ</w:t>
        </w:r>
        <w:r w:rsidR="00F513C7">
          <w:rPr>
            <w:rStyle w:val="a4"/>
            <w:webHidden/>
          </w:rPr>
          <w:tab/>
          <w:t>17</w:t>
        </w:r>
      </w:hyperlink>
    </w:p>
    <w:p w:rsidR="00F513C7" w:rsidRDefault="00400912" w:rsidP="00F513C7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r:id="rId21" w:anchor="_Toc278805442" w:history="1">
        <w:r w:rsidR="00F513C7">
          <w:rPr>
            <w:rStyle w:val="a4"/>
            <w:b/>
            <w:noProof/>
          </w:rPr>
          <w:t>2.2.1. Структура технического задания</w:t>
        </w:r>
        <w:r w:rsidR="00F513C7">
          <w:rPr>
            <w:rStyle w:val="a4"/>
            <w:noProof/>
            <w:webHidden/>
          </w:rPr>
          <w:tab/>
          <w:t>17</w:t>
        </w:r>
      </w:hyperlink>
    </w:p>
    <w:p w:rsidR="00F513C7" w:rsidRDefault="00400912" w:rsidP="00F513C7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r:id="rId22" w:anchor="_Toc278805443" w:history="1">
        <w:r w:rsidR="00F513C7">
          <w:rPr>
            <w:rStyle w:val="a4"/>
            <w:b/>
            <w:noProof/>
          </w:rPr>
          <w:t>2.2.2. Целевые индикаторы инвестиционных программ</w:t>
        </w:r>
        <w:r w:rsidR="00F513C7">
          <w:rPr>
            <w:rStyle w:val="a4"/>
            <w:noProof/>
            <w:webHidden/>
          </w:rPr>
          <w:tab/>
        </w:r>
        <w:r>
          <w:rPr>
            <w:rStyle w:val="a4"/>
            <w:noProof/>
            <w:webHidden/>
          </w:rPr>
          <w:fldChar w:fldCharType="begin"/>
        </w:r>
        <w:r w:rsidR="00F513C7">
          <w:rPr>
            <w:rStyle w:val="a4"/>
            <w:noProof/>
            <w:webHidden/>
          </w:rPr>
          <w:instrText xml:space="preserve"> PAGEREF _Toc278805443 \h </w:instrText>
        </w:r>
        <w:r>
          <w:rPr>
            <w:rStyle w:val="a4"/>
            <w:noProof/>
            <w:webHidden/>
          </w:rPr>
        </w:r>
        <w:r>
          <w:rPr>
            <w:rStyle w:val="a4"/>
            <w:noProof/>
            <w:webHidden/>
          </w:rPr>
          <w:fldChar w:fldCharType="separate"/>
        </w:r>
        <w:r w:rsidR="00F513C7">
          <w:rPr>
            <w:rStyle w:val="a4"/>
            <w:noProof/>
            <w:webHidden/>
          </w:rPr>
          <w:t>18</w:t>
        </w:r>
        <w:r>
          <w:rPr>
            <w:rStyle w:val="a4"/>
            <w:noProof/>
            <w:webHidden/>
          </w:rPr>
          <w:fldChar w:fldCharType="end"/>
        </w:r>
      </w:hyperlink>
    </w:p>
    <w:p w:rsidR="00F513C7" w:rsidRDefault="00400912" w:rsidP="00F513C7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r:id="rId23" w:anchor="_Toc278805444" w:history="1">
        <w:r w:rsidR="00F513C7">
          <w:rPr>
            <w:rStyle w:val="a4"/>
            <w:noProof/>
          </w:rPr>
          <w:t>РАЗДЕЛ 3. Финансовое обеспечение Программы</w:t>
        </w:r>
        <w:r w:rsidR="00F513C7">
          <w:rPr>
            <w:rStyle w:val="a4"/>
            <w:noProof/>
            <w:webHidden/>
          </w:rPr>
          <w:tab/>
        </w:r>
        <w:r>
          <w:rPr>
            <w:rStyle w:val="a4"/>
            <w:noProof/>
            <w:webHidden/>
          </w:rPr>
          <w:fldChar w:fldCharType="begin"/>
        </w:r>
        <w:r w:rsidR="00F513C7">
          <w:rPr>
            <w:rStyle w:val="a4"/>
            <w:noProof/>
            <w:webHidden/>
          </w:rPr>
          <w:instrText xml:space="preserve"> PAGEREF _Toc278805444 \h </w:instrText>
        </w:r>
        <w:r>
          <w:rPr>
            <w:rStyle w:val="a4"/>
            <w:noProof/>
            <w:webHidden/>
          </w:rPr>
        </w:r>
        <w:r>
          <w:rPr>
            <w:rStyle w:val="a4"/>
            <w:noProof/>
            <w:webHidden/>
          </w:rPr>
          <w:fldChar w:fldCharType="separate"/>
        </w:r>
        <w:r w:rsidR="00F513C7">
          <w:rPr>
            <w:rStyle w:val="a4"/>
            <w:b w:val="0"/>
            <w:bCs w:val="0"/>
            <w:noProof/>
            <w:webHidden/>
          </w:rPr>
          <w:t>Ошибка! Закладка не определена.</w:t>
        </w:r>
        <w:r>
          <w:rPr>
            <w:rStyle w:val="a4"/>
            <w:noProof/>
            <w:webHidden/>
          </w:rPr>
          <w:fldChar w:fldCharType="end"/>
        </w:r>
      </w:hyperlink>
    </w:p>
    <w:p w:rsidR="00F513C7" w:rsidRDefault="00400912" w:rsidP="00F513C7">
      <w:pPr>
        <w:pStyle w:val="21"/>
        <w:rPr>
          <w:b w:val="0"/>
          <w:sz w:val="24"/>
          <w:szCs w:val="24"/>
        </w:rPr>
      </w:pPr>
      <w:hyperlink r:id="rId24" w:anchor="_Toc278805445" w:history="1">
        <w:r w:rsidR="00F513C7">
          <w:rPr>
            <w:rStyle w:val="a4"/>
          </w:rPr>
          <w:t>3.1. Расчет объемов финансирования Программы</w:t>
        </w:r>
        <w:r w:rsidR="00F513C7">
          <w:rPr>
            <w:rStyle w:val="a4"/>
            <w:webHidden/>
          </w:rPr>
          <w:tab/>
        </w:r>
        <w:r>
          <w:rPr>
            <w:rStyle w:val="a4"/>
            <w:webHidden/>
          </w:rPr>
          <w:fldChar w:fldCharType="begin"/>
        </w:r>
        <w:r w:rsidR="00F513C7">
          <w:rPr>
            <w:rStyle w:val="a4"/>
            <w:webHidden/>
          </w:rPr>
          <w:instrText xml:space="preserve"> PAGEREF _Toc278805445 \h </w:instrText>
        </w:r>
        <w:r>
          <w:rPr>
            <w:rStyle w:val="a4"/>
            <w:webHidden/>
          </w:rPr>
        </w:r>
        <w:r>
          <w:rPr>
            <w:rStyle w:val="a4"/>
            <w:webHidden/>
          </w:rPr>
          <w:fldChar w:fldCharType="separate"/>
        </w:r>
        <w:r w:rsidR="00F513C7">
          <w:rPr>
            <w:rStyle w:val="a4"/>
            <w:b w:val="0"/>
            <w:bCs/>
            <w:webHidden/>
          </w:rPr>
          <w:t>Ошибка! Закладка не определена.</w:t>
        </w:r>
        <w:r>
          <w:rPr>
            <w:rStyle w:val="a4"/>
            <w:webHidden/>
          </w:rPr>
          <w:fldChar w:fldCharType="end"/>
        </w:r>
      </w:hyperlink>
    </w:p>
    <w:p w:rsidR="00F513C7" w:rsidRDefault="00400912" w:rsidP="00F513C7">
      <w:pPr>
        <w:pStyle w:val="21"/>
        <w:rPr>
          <w:b w:val="0"/>
          <w:sz w:val="24"/>
          <w:szCs w:val="24"/>
        </w:rPr>
      </w:pPr>
      <w:hyperlink r:id="rId25" w:anchor="_Toc278805446" w:history="1">
        <w:r w:rsidR="00F513C7">
          <w:rPr>
            <w:rStyle w:val="a4"/>
          </w:rPr>
          <w:t xml:space="preserve">3.2. Расчет </w:t>
        </w:r>
        <w:r w:rsidR="00F513C7">
          <w:rPr>
            <w:rStyle w:val="a4"/>
            <w:rFonts w:eastAsia="Calibri"/>
          </w:rPr>
          <w:t>эффективности внедрения мероприятий</w:t>
        </w:r>
        <w:r w:rsidR="00F513C7">
          <w:rPr>
            <w:rStyle w:val="a4"/>
          </w:rPr>
          <w:t xml:space="preserve"> Программы</w:t>
        </w:r>
        <w:r w:rsidR="00F513C7">
          <w:rPr>
            <w:rStyle w:val="a4"/>
            <w:webHidden/>
          </w:rPr>
          <w:tab/>
          <w:t>27</w:t>
        </w:r>
      </w:hyperlink>
    </w:p>
    <w:p w:rsidR="00F513C7" w:rsidRDefault="00400912" w:rsidP="00F513C7">
      <w:pPr>
        <w:pStyle w:val="21"/>
        <w:rPr>
          <w:b w:val="0"/>
          <w:sz w:val="24"/>
          <w:szCs w:val="24"/>
        </w:rPr>
      </w:pPr>
      <w:hyperlink r:id="rId26" w:anchor="_Toc278805447" w:history="1">
        <w:r w:rsidR="00F513C7">
          <w:rPr>
            <w:rStyle w:val="a4"/>
          </w:rPr>
          <w:t>Контроль за исполнением мероприятий Программы</w:t>
        </w:r>
        <w:r w:rsidR="00F513C7">
          <w:rPr>
            <w:rStyle w:val="a4"/>
            <w:webHidden/>
          </w:rPr>
          <w:tab/>
          <w:t>29</w:t>
        </w:r>
      </w:hyperlink>
    </w:p>
    <w:p w:rsidR="00F513C7" w:rsidRDefault="00400912" w:rsidP="00F513C7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end"/>
      </w:r>
    </w:p>
    <w:p w:rsidR="00F513C7" w:rsidRDefault="00F513C7" w:rsidP="00F513C7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F513C7">
          <w:pgSz w:w="11906" w:h="16838"/>
          <w:pgMar w:top="1134" w:right="851" w:bottom="1134" w:left="1134" w:header="709" w:footer="709" w:gutter="0"/>
          <w:cols w:space="720"/>
        </w:sectPr>
      </w:pPr>
    </w:p>
    <w:p w:rsidR="00F513C7" w:rsidRDefault="00F513C7" w:rsidP="00F513C7">
      <w:pPr>
        <w:pStyle w:val="af6"/>
        <w:pageBreakBefore/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27"/>
        <w:gridCol w:w="6167"/>
      </w:tblGrid>
      <w:tr w:rsidR="00F513C7" w:rsidTr="00F513C7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 Троицкого сельского поселения Лискинского района Воронежской области на 2017-2030 г.г.» (далее Программа)</w:t>
            </w:r>
          </w:p>
        </w:tc>
      </w:tr>
      <w:tr w:rsidR="00F513C7" w:rsidTr="00F513C7">
        <w:trPr>
          <w:trHeight w:val="848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г. № 237-ФЗ «О внесении изменений в Жилищный кодекс Российской Федерации и отдельные законодательные акты Российской Федерации»</w:t>
            </w:r>
          </w:p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Троицкого сельского поселения </w:t>
            </w:r>
          </w:p>
          <w:p w:rsidR="00F513C7" w:rsidRDefault="00F513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– Троицкое сельское поселение  в лице администрации Троицкого сельского поселения </w:t>
            </w:r>
          </w:p>
        </w:tc>
      </w:tr>
      <w:tr w:rsidR="00F513C7" w:rsidTr="00F513C7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Троицкого сельского поселения</w:t>
            </w:r>
          </w:p>
          <w:p w:rsidR="00F513C7" w:rsidRDefault="00F513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надежности снабжения ресурсами;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пропускной способности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ресурсопроводящих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сетей;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свободных мощностей для перспективы развития поселения;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в поселении;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сбалансированности коммунальных систем;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доступности ресурса для потребителей;</w:t>
            </w:r>
          </w:p>
          <w:p w:rsidR="00F513C7" w:rsidRDefault="00F513C7" w:rsidP="00E651E1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производства услуги.</w:t>
            </w:r>
          </w:p>
          <w:p w:rsidR="00F513C7" w:rsidRDefault="00F513C7">
            <w:pPr>
              <w:pStyle w:val="af7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обеспеченности населения ресурсами, снижение уровня потерь;</w:t>
            </w:r>
          </w:p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доли расходов на коммунальные услуги в совокупном доходе семьи;</w:t>
            </w:r>
          </w:p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уровня собираемости платежей за коммунальные услуги;</w:t>
            </w:r>
          </w:p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доли  получателей субсидий на оплату коммунальных услуг в общей численности населения;</w:t>
            </w:r>
          </w:p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рентабельности производства ресурсов, снижение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13C7" w:rsidRDefault="00F513C7" w:rsidP="00E651E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 уровня загрузки производственных мощностей;</w:t>
            </w:r>
          </w:p>
          <w:p w:rsidR="00F513C7" w:rsidRDefault="00F513C7">
            <w:pPr>
              <w:pStyle w:val="af7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525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525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водоснабжения: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аварийность системы водоснабжения;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перебои в снабжении потребителей;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продолжительность поставки товаров и услуг;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уровень потерь;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износ системы водоснабжения;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удельный вес сетей, нуждающихся в замене;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уровень загрузки производственных мощностей;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обеспеченность потребления    товаров и    услуг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приборами учёта;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соответствие качества воды установленным</w:t>
            </w:r>
            <w:proofErr w:type="gramEnd"/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требованиям;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удельное водопотребление;</w:t>
            </w:r>
          </w:p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Times New Roman" w:hAnsi="Times New Roman"/>
                <w:sz w:val="28"/>
                <w:szCs w:val="28"/>
              </w:rPr>
              <w:t>доля  потребителей  в  жилых  домах,  обеспеченных доступом к коммунальной инфраструктуре.</w:t>
            </w:r>
          </w:p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Pr="00E651E1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программных мероприятий за период 2016-2030 гг. составляет </w:t>
            </w:r>
            <w:r w:rsidR="00E651E1">
              <w:rPr>
                <w:rFonts w:ascii="Times New Roman" w:hAnsi="Times New Roman"/>
                <w:sz w:val="28"/>
                <w:szCs w:val="28"/>
              </w:rPr>
              <w:t>38150,0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651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 источникам  финансирования  программных  мероприятий</w:t>
            </w:r>
          </w:p>
          <w:p w:rsidR="00F513C7" w:rsidRDefault="00F513C7" w:rsidP="00E651E1">
            <w:pPr>
              <w:pStyle w:val="ConsPlusNorma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относятся иные средства.</w:t>
            </w:r>
          </w:p>
        </w:tc>
      </w:tr>
      <w:tr w:rsidR="00F513C7" w:rsidTr="00F513C7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эффективность мероприятий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 w:rsidP="00E651E1">
            <w:pPr>
              <w:pStyle w:val="af6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повышение надежности функционирования систем коммунальной инфраструктуры;</w:t>
            </w:r>
          </w:p>
          <w:p w:rsidR="00F513C7" w:rsidRDefault="00F513C7" w:rsidP="00E651E1">
            <w:pPr>
              <w:pStyle w:val="af6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F513C7" w:rsidRDefault="00F513C7" w:rsidP="00E651E1">
            <w:pPr>
              <w:pStyle w:val="af6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повышение качества предоставляемых коммунальных услуг; </w:t>
            </w:r>
          </w:p>
          <w:p w:rsidR="00F513C7" w:rsidRDefault="00F513C7" w:rsidP="00E651E1">
            <w:pPr>
              <w:pStyle w:val="af6"/>
              <w:numPr>
                <w:ilvl w:val="0"/>
                <w:numId w:val="6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улучшение экологического состояния села</w:t>
            </w:r>
          </w:p>
          <w:p w:rsidR="00F513C7" w:rsidRDefault="00F513C7">
            <w:pPr>
              <w:pStyle w:val="af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513C7" w:rsidTr="00F513C7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администрацией Троицкого сельского поселения </w:t>
            </w:r>
          </w:p>
        </w:tc>
      </w:tr>
    </w:tbl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1"/>
        <w:keepNext w:val="0"/>
        <w:pageBreakBefore/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:rsidR="00F513C7" w:rsidRDefault="00F513C7" w:rsidP="00F513C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«Комплексное развитие систем коммунальной инфраструктуры Троицкого сельского поселения на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</w:rPr>
          <w:t>2030 г</w:t>
        </w:r>
      </w:smartTag>
      <w:r>
        <w:rPr>
          <w:rFonts w:ascii="Times New Roman" w:hAnsi="Times New Roman"/>
          <w:sz w:val="28"/>
          <w:szCs w:val="28"/>
        </w:rPr>
        <w:t>.г.» (далее – Программа) разработана во исполнение требований Федерального закона от 30 декабря 2004 года № 210-ФЗ «Об основах регулирования тарифов организаций коммунального комплекса»,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Генерального плана Муниципального образования.</w:t>
      </w:r>
      <w:proofErr w:type="gramEnd"/>
    </w:p>
    <w:p w:rsidR="00F513C7" w:rsidRDefault="00F513C7" w:rsidP="00F513C7">
      <w:pPr>
        <w:pStyle w:val="a0"/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 в сфере электроснабжения и  водоснабжения, повышающих надежность функционирования жилищно-коммунальных систем жизнеобеспечения, способствующих режиму их устойчивого достаточного финансирования, а также обеспечивающих комфортные и безопасные условия проживания людей.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жилищно-коммунальных предприятий для решения задач надежного и устойчивого обслуживания потребителей.</w:t>
      </w:r>
    </w:p>
    <w:p w:rsidR="00F513C7" w:rsidRDefault="00F513C7" w:rsidP="00F513C7">
      <w:pPr>
        <w:pStyle w:val="a0"/>
        <w:tabs>
          <w:tab w:val="num" w:pos="230"/>
        </w:tabs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представлена характеристика состояния основных коммунальных систем и отмечены ключевые проблемы, влияющие на качество, надежность и экологическую безопасность оказываемых потребителям коммунальных услуг. Выявленные проблемы требуют принятия безотлагательных мер по их устранению и минимизации рисков возникновения аварий и неблагоприятных экологических последствий эксплуатации изношенных и часто не отвечающих требованиям безопасности основных фондов ЖКХ.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перспективе направлена на решение следующих основных вопросов:</w:t>
      </w:r>
    </w:p>
    <w:p w:rsidR="00F513C7" w:rsidRDefault="00F513C7" w:rsidP="00E651E1">
      <w:pPr>
        <w:pStyle w:val="af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технических заданий на формирование проектов инвестиционных программ строительства новых и комплексного обновления существующих систем коммунальной инфраструктуры;</w:t>
      </w:r>
    </w:p>
    <w:p w:rsidR="00F513C7" w:rsidRDefault="00F513C7" w:rsidP="00E651E1">
      <w:pPr>
        <w:pStyle w:val="af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инвестиционных и производственных программ организаций коммунального комплекса;</w:t>
      </w:r>
    </w:p>
    <w:p w:rsidR="00F513C7" w:rsidRDefault="00F513C7" w:rsidP="00E651E1">
      <w:pPr>
        <w:pStyle w:val="af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программ энергосбережения и повышения энергетической эффективности ОКК;</w:t>
      </w:r>
    </w:p>
    <w:p w:rsidR="00F513C7" w:rsidRDefault="00F513C7" w:rsidP="00E651E1">
      <w:pPr>
        <w:pStyle w:val="af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предоставляемых коммунальных услуг населению, обеспечение возможности наращивания и модернизации коммунальной инфраструктуры в местах существующей застройки.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Логика разработки Программы базируется на необходимости </w:t>
      </w:r>
      <w:r>
        <w:rPr>
          <w:rFonts w:ascii="Times New Roman" w:hAnsi="Times New Roman"/>
          <w:sz w:val="28"/>
          <w:szCs w:val="28"/>
        </w:rPr>
        <w:lastRenderedPageBreak/>
        <w:t>достижения целевых уровней индикаторов состояния коммунальной инфраструктуры Муниципального образования,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Муниципального образования.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Коммунальные системы – капиталоёмкие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длительном временном интервале (до 2030 года).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направлены на улучшение параметров сбалансированности структуры коммунальной системы, повышение ее надежности, энергетической и экономической эффективности, качества услуг, доступности услуг потребителям.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 является руководящим документом для разработки инвестиционных программ в целях создания новых и модернизации действующих объектов систем водоснабжения Троицкого сельского поселения.</w:t>
      </w:r>
    </w:p>
    <w:p w:rsidR="00F513C7" w:rsidRDefault="00F513C7" w:rsidP="00F513C7">
      <w:pPr>
        <w:pStyle w:val="af6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 1. Анализ существующего состояния систем коммунальной инфраструктуры</w:t>
      </w:r>
    </w:p>
    <w:p w:rsidR="00F513C7" w:rsidRDefault="00F513C7" w:rsidP="00F513C7">
      <w:pPr>
        <w:pStyle w:val="af6"/>
        <w:ind w:firstLine="573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данные, характеризующие сложившуюся систему коммунальной инфраструктуры в Троицком сельском поселении, с освещением ключевых проблемных моментов, требующих дополнительного финансового обеспечения.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pStyle w:val="af6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Краткая характеристика муниципального образования</w:t>
      </w:r>
    </w:p>
    <w:p w:rsidR="00F513C7" w:rsidRDefault="00F513C7" w:rsidP="00F513C7">
      <w:pPr>
        <w:pStyle w:val="af6"/>
        <w:ind w:left="1293"/>
        <w:rPr>
          <w:rFonts w:ascii="Times New Roman" w:hAnsi="Times New Roman"/>
          <w:b/>
          <w:sz w:val="28"/>
          <w:szCs w:val="28"/>
        </w:rPr>
      </w:pPr>
    </w:p>
    <w:p w:rsidR="00F513C7" w:rsidRPr="004F2CE3" w:rsidRDefault="00F513C7" w:rsidP="00F513C7">
      <w:pPr>
        <w:pStyle w:val="af6"/>
        <w:ind w:firstLine="57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Троицкое сельское поселение расположено в южной части Лискинского муниципального района в 45 км от районного центра города Лиски. Административным центром поселения является село Троицкое</w:t>
      </w:r>
      <w:r w:rsidRPr="004F2CE3">
        <w:rPr>
          <w:rFonts w:ascii="Times New Roman" w:hAnsi="Times New Roman"/>
          <w:color w:val="000000" w:themeColor="text1"/>
          <w:sz w:val="28"/>
          <w:szCs w:val="28"/>
        </w:rPr>
        <w:t>. На юге территория поселения граничит  с</w:t>
      </w:r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>Копанищенским</w:t>
      </w:r>
      <w:proofErr w:type="spellEnd"/>
      <w:r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 сельским поселением, на  западе — с</w:t>
      </w:r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>Острогожским</w:t>
      </w:r>
      <w:proofErr w:type="spellEnd"/>
      <w:r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>муниципальным районом</w:t>
      </w:r>
      <w:r w:rsidRPr="004F2CE3">
        <w:rPr>
          <w:rFonts w:ascii="Times New Roman" w:hAnsi="Times New Roman"/>
          <w:color w:val="000000" w:themeColor="text1"/>
          <w:sz w:val="28"/>
          <w:szCs w:val="28"/>
        </w:rPr>
        <w:t>,  на севере</w:t>
      </w:r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– с </w:t>
      </w:r>
      <w:proofErr w:type="spellStart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>Бодеевским</w:t>
      </w:r>
      <w:proofErr w:type="spellEnd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поселением,  на </w:t>
      </w:r>
      <w:r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востоке — с </w:t>
      </w:r>
      <w:proofErr w:type="spellStart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>Высокинским</w:t>
      </w:r>
      <w:proofErr w:type="spellEnd"/>
      <w:r w:rsidR="004F2CE3" w:rsidRPr="004F2CE3">
        <w:rPr>
          <w:rFonts w:ascii="Times New Roman" w:hAnsi="Times New Roman"/>
          <w:color w:val="000000" w:themeColor="text1"/>
          <w:sz w:val="28"/>
          <w:szCs w:val="28"/>
        </w:rPr>
        <w:t xml:space="preserve"> сельским поселением</w:t>
      </w:r>
      <w:r w:rsidRPr="004F2C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 w:rsidRPr="004F2CE3">
        <w:rPr>
          <w:rFonts w:ascii="Times New Roman" w:hAnsi="Times New Roman"/>
          <w:color w:val="000000" w:themeColor="text1"/>
          <w:sz w:val="28"/>
          <w:szCs w:val="28"/>
        </w:rPr>
        <w:t>Общая численность населения сельского  поселения по состоянию на 01.01.2016 год составляет 1133 человека. На территории поселения</w:t>
      </w:r>
      <w:r>
        <w:rPr>
          <w:rFonts w:ascii="Times New Roman" w:hAnsi="Times New Roman"/>
          <w:sz w:val="28"/>
          <w:szCs w:val="28"/>
        </w:rPr>
        <w:t xml:space="preserve"> расположен один  населенный пункт: село Троицкое, общее число домохозяйств  4</w:t>
      </w:r>
      <w:r w:rsidR="004F2CE3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4F2C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Общая площадь Троицкого сельского поселения </w:t>
      </w:r>
      <w:r w:rsidR="004F2CE3">
        <w:rPr>
          <w:rFonts w:ascii="Times New Roman" w:hAnsi="Times New Roman"/>
          <w:sz w:val="28"/>
          <w:szCs w:val="28"/>
        </w:rPr>
        <w:t>6,157 тыс.</w:t>
      </w:r>
      <w:r>
        <w:rPr>
          <w:rFonts w:ascii="Times New Roman" w:hAnsi="Times New Roman"/>
          <w:sz w:val="28"/>
          <w:szCs w:val="28"/>
        </w:rPr>
        <w:t>га.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селе</w:t>
      </w:r>
      <w:proofErr w:type="gramEnd"/>
      <w:r>
        <w:rPr>
          <w:rFonts w:ascii="Times New Roman" w:hAnsi="Times New Roman"/>
          <w:sz w:val="28"/>
          <w:szCs w:val="28"/>
        </w:rPr>
        <w:t xml:space="preserve"> Троицкое работают следующие предприятия:</w:t>
      </w:r>
    </w:p>
    <w:p w:rsidR="00F513C7" w:rsidRDefault="00F513C7" w:rsidP="00E651E1">
      <w:pPr>
        <w:pStyle w:val="af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«Троицкое</w:t>
      </w:r>
    </w:p>
    <w:p w:rsidR="00F513C7" w:rsidRDefault="00F513C7" w:rsidP="00E651E1">
      <w:pPr>
        <w:pStyle w:val="af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 «Русь»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селе</w:t>
      </w:r>
      <w:proofErr w:type="gramEnd"/>
      <w:r>
        <w:rPr>
          <w:rFonts w:ascii="Times New Roman" w:hAnsi="Times New Roman"/>
          <w:sz w:val="28"/>
          <w:szCs w:val="28"/>
        </w:rPr>
        <w:t xml:space="preserve"> Троицкое развита сеть образовательных учреждений, функционируют: стадион, 2 библиотеки, 1 Дом культуры, детский сад.</w:t>
      </w:r>
    </w:p>
    <w:p w:rsidR="00F513C7" w:rsidRDefault="00F513C7" w:rsidP="00E651E1">
      <w:pPr>
        <w:pStyle w:val="af6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513C7" w:rsidRDefault="00F513C7" w:rsidP="00E651E1">
      <w:pPr>
        <w:pStyle w:val="af6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Существующая организация систем коммунальной инфраструктуры</w:t>
      </w:r>
    </w:p>
    <w:p w:rsidR="00F513C7" w:rsidRDefault="00F513C7" w:rsidP="00F513C7">
      <w:pPr>
        <w:pStyle w:val="af6"/>
        <w:ind w:left="1293"/>
        <w:rPr>
          <w:rFonts w:ascii="Times New Roman" w:hAnsi="Times New Roman"/>
          <w:b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число основных субъектов коммунальной инфраструктуры, оказывающих услуги ЖКХ на территории Троицкого сельского поселения, входят следующие предприятия:</w:t>
      </w:r>
    </w:p>
    <w:p w:rsidR="00F513C7" w:rsidRDefault="00F513C7" w:rsidP="00E651E1">
      <w:pPr>
        <w:pStyle w:val="af6"/>
        <w:numPr>
          <w:ilvl w:val="0"/>
          <w:numId w:val="8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«Коммунальщик» (водоснабжение)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№ 1 представлены основные показатели производства энергоресурсов сводной системы коммунальной инфраструктуры.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систем коммунальной инфраструктуры село </w:t>
      </w:r>
      <w:proofErr w:type="gramStart"/>
      <w:r>
        <w:rPr>
          <w:rFonts w:ascii="Times New Roman" w:hAnsi="Times New Roman"/>
          <w:b/>
          <w:sz w:val="24"/>
          <w:szCs w:val="24"/>
        </w:rPr>
        <w:t>Средний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Икорец</w:t>
      </w:r>
      <w:proofErr w:type="spellEnd"/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200"/>
        <w:gridCol w:w="1982"/>
        <w:gridCol w:w="1589"/>
      </w:tblGrid>
      <w:tr w:rsidR="00F513C7" w:rsidTr="00F513C7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</w:tr>
      <w:tr w:rsidR="00F513C7" w:rsidTr="00F513C7">
        <w:trPr>
          <w:trHeight w:val="3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513C7" w:rsidTr="00F513C7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13C7" w:rsidTr="00F513C7">
        <w:trPr>
          <w:trHeight w:val="3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водозаборных сооружений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</w:tr>
      <w:tr w:rsidR="00F513C7" w:rsidTr="00F513C7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C7" w:rsidTr="00F513C7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3C7" w:rsidTr="00F513C7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Одиночное протяжение водопроводов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F513C7" w:rsidTr="00F513C7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воды за год всем потребителям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F513C7" w:rsidTr="00F513C7">
        <w:trPr>
          <w:trHeight w:val="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населению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</w:tbl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приведена краткая техническая характеристика систем коммунальной инфраструктуры.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pStyle w:val="a0"/>
        <w:numPr>
          <w:ilvl w:val="2"/>
          <w:numId w:val="1"/>
        </w:numPr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Электроснабжение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села Троицкое осуществляется от  филиала ОАО «МРСК Центра» - «</w:t>
      </w:r>
      <w:proofErr w:type="spellStart"/>
      <w:r>
        <w:rPr>
          <w:rFonts w:ascii="Times New Roman" w:hAnsi="Times New Roman"/>
          <w:sz w:val="28"/>
          <w:szCs w:val="28"/>
        </w:rPr>
        <w:t>Воронежэнерго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Лискинские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районные электрические сети.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средств, используемых для передачи электроэнергии, приведен в таблице № 2</w:t>
      </w:r>
    </w:p>
    <w:p w:rsidR="00F513C7" w:rsidRDefault="00F513C7" w:rsidP="00F513C7">
      <w:pPr>
        <w:pStyle w:val="af6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F513C7" w:rsidRDefault="00F513C7" w:rsidP="00F513C7">
      <w:pPr>
        <w:pStyle w:val="af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средства для транспортировки электроэнергии</w:t>
      </w:r>
    </w:p>
    <w:p w:rsidR="00F513C7" w:rsidRDefault="00F513C7" w:rsidP="00F513C7">
      <w:pPr>
        <w:pStyle w:val="af6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7850" w:type="dxa"/>
        <w:jc w:val="center"/>
        <w:tblCellSpacing w:w="0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"/>
        <w:gridCol w:w="3187"/>
        <w:gridCol w:w="1269"/>
        <w:gridCol w:w="3014"/>
      </w:tblGrid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</w:tc>
      </w:tr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Трансформаторные подстанции 250 кВт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линии электропередачи 10 кВт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</w:tr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линии электропередачи 0,4 кВт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Линии уличного освещения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F513C7" w:rsidTr="00F513C7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Светильники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13C7" w:rsidRDefault="00F513C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</w:tbl>
    <w:p w:rsidR="00F513C7" w:rsidRDefault="00F513C7" w:rsidP="00F513C7">
      <w:pPr>
        <w:pStyle w:val="af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80 светильников переведены  на энергосберегающие лампы  4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85 </w:t>
      </w:r>
      <w:r>
        <w:rPr>
          <w:rFonts w:ascii="Times New Roman" w:hAnsi="Times New Roman"/>
          <w:sz w:val="28"/>
          <w:szCs w:val="28"/>
          <w:lang w:val="en-US"/>
        </w:rPr>
        <w:t>WE</w:t>
      </w:r>
      <w:r>
        <w:rPr>
          <w:rFonts w:ascii="Times New Roman" w:hAnsi="Times New Roman"/>
          <w:sz w:val="28"/>
          <w:szCs w:val="28"/>
        </w:rPr>
        <w:t xml:space="preserve"> 40. </w:t>
      </w:r>
      <w:proofErr w:type="gramEnd"/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дальнейшего развития системы электроснабжения и для повышения надежности электроснабжения, данной Программой предусмотрен перевод оставшихся 29 светильников на энергосберегающие лампы.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1.2.2.Газоснабжение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b/>
          <w:bCs/>
          <w:sz w:val="24"/>
          <w:szCs w:val="24"/>
        </w:rPr>
      </w:pPr>
    </w:p>
    <w:p w:rsidR="00F513C7" w:rsidRDefault="00F513C7" w:rsidP="00E651E1">
      <w:pPr>
        <w:widowControl w:val="0"/>
        <w:numPr>
          <w:ilvl w:val="1"/>
          <w:numId w:val="9"/>
        </w:numPr>
        <w:tabs>
          <w:tab w:val="clear" w:pos="1440"/>
          <w:tab w:val="num" w:pos="1890"/>
        </w:tabs>
        <w:overflowPunct w:val="0"/>
        <w:autoSpaceDE w:val="0"/>
        <w:autoSpaceDN w:val="0"/>
        <w:adjustRightInd w:val="0"/>
        <w:spacing w:after="0" w:line="249" w:lineRule="auto"/>
        <w:ind w:left="700" w:right="52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время газоснабжение Троицкого сельского поселения  Лискинского района развивается на базе природного газа давлением 1,2 МПа через ГРП.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10" w:right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осуществляет  ООО</w:t>
      </w:r>
      <w:proofErr w:type="gramStart"/>
      <w:r>
        <w:rPr>
          <w:rFonts w:ascii="Times New Roman" w:hAnsi="Times New Roman"/>
          <w:sz w:val="28"/>
          <w:szCs w:val="28"/>
        </w:rPr>
        <w:t>»Г</w:t>
      </w:r>
      <w:proofErr w:type="gramEnd"/>
      <w:r>
        <w:rPr>
          <w:rFonts w:ascii="Times New Roman" w:hAnsi="Times New Roman"/>
          <w:sz w:val="28"/>
          <w:szCs w:val="28"/>
        </w:rPr>
        <w:t xml:space="preserve">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Воронеж».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газа по поселению осуществляется по 3-х ступенчатой схеме: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I-я ступень — газопровод высокого давления II - ой категории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≤ 1,2 МПа;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F513C7" w:rsidRDefault="00F513C7" w:rsidP="00E651E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II-я ступень — газопровод среднего давления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≤ 0,3 МПа.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8"/>
          <w:szCs w:val="28"/>
        </w:rPr>
      </w:pPr>
    </w:p>
    <w:p w:rsidR="00F513C7" w:rsidRDefault="00F513C7" w:rsidP="00E651E1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III-я ступень — газопровод низкого давления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≤ 0,003 МПа.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00" w:right="5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между ступенями осуществляется через газорегуляторные пункты (ГРП, ШРП). По типу прокладки газопроводы всех категорий давления делятся на </w:t>
      </w:r>
      <w:proofErr w:type="gramStart"/>
      <w:r>
        <w:rPr>
          <w:rFonts w:ascii="Times New Roman" w:hAnsi="Times New Roman"/>
          <w:sz w:val="28"/>
          <w:szCs w:val="28"/>
        </w:rPr>
        <w:t>подземный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надземный. Надземный тип прокладки для газопровода низкого давления.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Технические характеристики ГРП и ШРП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администрации Троицкого сельского поселения: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0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природным газом газифицировано  582  домохозяйства;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0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газопроводов составляет  28 км.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Направления использования газа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Существующая жилая застройка сельского поселения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0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индивидуальных жилых домов усадебного типа 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этажных).</w:t>
      </w:r>
    </w:p>
    <w:p w:rsidR="00F513C7" w:rsidRDefault="00F513C7" w:rsidP="00E651E1">
      <w:pPr>
        <w:widowControl w:val="0"/>
        <w:numPr>
          <w:ilvl w:val="0"/>
          <w:numId w:val="10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Многоквартирные дома (2-х этажные)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1"/>
          <w:numId w:val="11"/>
        </w:numPr>
        <w:tabs>
          <w:tab w:val="num" w:pos="1034"/>
        </w:tabs>
        <w:overflowPunct w:val="0"/>
        <w:autoSpaceDE w:val="0"/>
        <w:autoSpaceDN w:val="0"/>
        <w:adjustRightInd w:val="0"/>
        <w:spacing w:after="0" w:line="25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индивидуальную застройку усадебного типа газ по газопроводам низкого давления подается для приготовления пищи, горячего водоснабжения и отопления. В </w:t>
      </w:r>
      <w:proofErr w:type="gramStart"/>
      <w:r>
        <w:rPr>
          <w:rFonts w:ascii="Times New Roman" w:hAnsi="Times New Roman"/>
          <w:sz w:val="28"/>
          <w:szCs w:val="28"/>
        </w:rPr>
        <w:t>домах</w:t>
      </w:r>
      <w:proofErr w:type="gramEnd"/>
      <w:r>
        <w:rPr>
          <w:rFonts w:ascii="Times New Roman" w:hAnsi="Times New Roman"/>
          <w:sz w:val="28"/>
          <w:szCs w:val="28"/>
        </w:rPr>
        <w:t xml:space="preserve"> усадебной застройки установлены газовые плиты и 2-х контурные отопительные котлы, также колонка ВПГ. </w:t>
      </w: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513C7" w:rsidRDefault="00F513C7" w:rsidP="00F513C7">
      <w:pPr>
        <w:pStyle w:val="af6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pStyle w:val="af6"/>
        <w:numPr>
          <w:ilvl w:val="2"/>
          <w:numId w:val="2"/>
        </w:numPr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Водоснабжение</w:t>
      </w: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водоснабжения  Троицкого сельского поселения  являются подземные водоносные горизонты. В настоящее время в пользовании МУП </w:t>
      </w:r>
      <w:r>
        <w:rPr>
          <w:rFonts w:ascii="Times New Roman" w:hAnsi="Times New Roman"/>
          <w:sz w:val="28"/>
          <w:szCs w:val="28"/>
        </w:rPr>
        <w:lastRenderedPageBreak/>
        <w:t>«Коммунальщик» имеется 2 артезианских скважины, которые требуют замены, т.к. эксплуатируются с 1978, 1986 года.</w:t>
      </w: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Глубина эксплуатируемых скважин 50 метров. Вышеуказанные скважины оборудованы </w:t>
      </w:r>
      <w:proofErr w:type="spellStart"/>
      <w:r>
        <w:rPr>
          <w:rFonts w:ascii="Times New Roman" w:hAnsi="Times New Roman"/>
          <w:sz w:val="28"/>
          <w:szCs w:val="28"/>
        </w:rPr>
        <w:t>погружными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насосами марки ЭЦВ6-10-110.Установленная производственная мощность станций первого подъема составляет 0.272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/сутки. Очистка воды не производится, так как качество подземных вод, добываемых из эксплуатируемых скважин, по заключению СЭС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В необходимых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(авария, паводок и т.п.) обеззараживание воды производится хлорной известью.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58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Троицкого сельского поселения  источниками питьевого водоснабжения являются подземные артезианские скважины.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2.1.4.1110-02 источники водоснабжения должны иметь зоны санитарной охраны (ЗСО).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58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Общая протяженность водопроводных сетей по поселку составляет 143,5 км. Конструктивно сети выполнены в основном из чугунных, асбестовых и железных труб, диаметром </w:t>
      </w:r>
      <w:smartTag w:uri="urn:schemas-microsoft-com:office:smarttags" w:element="metricconverter">
        <w:smartTagPr>
          <w:attr w:name="ProductID" w:val="-100 мм"/>
        </w:smartTagPr>
        <w:r>
          <w:rPr>
            <w:rFonts w:ascii="Times New Roman" w:hAnsi="Times New Roman"/>
            <w:sz w:val="28"/>
            <w:szCs w:val="28"/>
          </w:rPr>
          <w:t>-100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513C7" w:rsidRDefault="00F513C7" w:rsidP="00F513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услуги водоснабжения задействованы 2 башни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>, используемые для хранения воды (емкость резервуаров башен 25м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Из башни под давлением, созданным высотой башни, вода поступает в сети хозяйственно-питьевого водопровода населенного пункта. Пожарных резервуаров нет. Год ввода в эксплуатацию 1-й скважины 1978г. (износ -100%), другой скважины 1986 год (износ 60%). Износ эксплуатируемых водопроводных сетей составил 100% (ввод в эксплуатацию 1986 год).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2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организация и ответственность за водоснабжение Троицкого сельского поселения  лежит на Администрации Троицкого сельского  поселения и на других эксплуатирующих организациях.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водоснабжения являются подземные воды.</w:t>
      </w:r>
    </w:p>
    <w:p w:rsidR="00F513C7" w:rsidRDefault="00F513C7" w:rsidP="00F51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подаваемой воды соответствует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2.1.4.1074-01 </w:t>
      </w:r>
      <w:proofErr w:type="gramStart"/>
      <w:r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/>
          <w:sz w:val="28"/>
          <w:szCs w:val="28"/>
        </w:rPr>
        <w:t xml:space="preserve"> лабораторных испытаний ФГУ «Центр гигиены и эпидемиологии в Воронежской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Лискинском</w:t>
      </w:r>
      <w:proofErr w:type="spellEnd"/>
      <w:r>
        <w:rPr>
          <w:rFonts w:ascii="Times New Roman" w:hAnsi="Times New Roman"/>
          <w:sz w:val="28"/>
          <w:szCs w:val="28"/>
        </w:rPr>
        <w:t>, Бобровском, Каменском, Каширском, Острогожском районах»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80" w:righ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Добыча воды осуществляется в соответствии со всеми нормативными документами. </w:t>
      </w: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1.2.3. Сбор и вывоз твердых бытовых отходов (ТБО)</w:t>
      </w:r>
    </w:p>
    <w:p w:rsidR="00F513C7" w:rsidRDefault="00F513C7" w:rsidP="00F513C7">
      <w:pPr>
        <w:pStyle w:val="af6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 вывоз твердых бытовых отходов на территории поселения осуществляет МУП «Давыдовское коммунальное хозяйство». Для выполнения работ по вывозу ТБО предприятием заключен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но сбор, вывоз и захоронение ТБО с МУП «Давыдовское коммунальное хозяйство» из-за отсутствия полигона ТБО в селе и спецтехники.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Троицком 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Лискинского района применяется следующая система сбора бытовых отходов: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  целью  уменьшения  несанкционированного  объема  ТБО  в    поселении   в   индивидуальной   застройке   применяется позвонковая   система   с применением  полиэтиленовых мешков. Жители выносят мешки на обочины дорог   на пути движения мусоровоза. Оплата услуг за вывоз осуществляется ежемесячно.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0" w:right="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полиэтиленовых мешков позволяет решить несколько проблем: 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0" w:right="880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0" w:right="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1.Обеспечить финансирование услуг по сбору и вывозу ТБО.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учет ТБО (объем ТБО определяется произведением собранных мешков и их вместимости).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0" w:firstLine="6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Еженедельно, по графику спецмашина осуществляет сбор ТБО от населения. </w:t>
      </w:r>
    </w:p>
    <w:p w:rsidR="00F513C7" w:rsidRDefault="00F513C7" w:rsidP="00F513C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отсутствует система централизованного водоотведения.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E651E1">
      <w:pPr>
        <w:pStyle w:val="af6"/>
        <w:numPr>
          <w:ilvl w:val="1"/>
          <w:numId w:val="2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Общая оценка состояния систем коммунальной инфраструктуры и прогноз перспектив их развития на период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b/>
            <w:sz w:val="32"/>
            <w:szCs w:val="32"/>
          </w:rPr>
          <w:t>2030 г</w:t>
        </w:r>
      </w:smartTag>
      <w:r>
        <w:rPr>
          <w:rFonts w:ascii="Times New Roman" w:hAnsi="Times New Roman"/>
          <w:b/>
          <w:sz w:val="32"/>
          <w:szCs w:val="32"/>
        </w:rPr>
        <w:t>.г.</w:t>
      </w:r>
    </w:p>
    <w:p w:rsidR="00F513C7" w:rsidRDefault="00F513C7" w:rsidP="00F513C7">
      <w:pPr>
        <w:pStyle w:val="af6"/>
        <w:ind w:left="1293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 систем коммунальной инфраструктуры Троицком сельском поселении можно оценить как удовлетворительное. В тоже время, в связи с отсутствием достаточного финансирования деятельности </w:t>
      </w:r>
      <w:r>
        <w:rPr>
          <w:rFonts w:ascii="Times New Roman" w:hAnsi="Times New Roman"/>
          <w:sz w:val="28"/>
          <w:szCs w:val="28"/>
        </w:rPr>
        <w:lastRenderedPageBreak/>
        <w:t>организаций коммунального комплекса возникает ряд существенных проблем.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проблем в социально-экономическом развитии Троицкого сельского поселения является необходимость увеличения обеспеченности населения и промышленного комплекса питьевой водой. </w:t>
      </w:r>
    </w:p>
    <w:p w:rsidR="00F513C7" w:rsidRDefault="00F513C7" w:rsidP="00F513C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дебет существующих скважин создает нестабильность в водоснабжении села. Таким образом, возникла необходимость строительства новых скважин.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Насущной задачей при оказании услуги водоснабжения  в Троицком сельском поселении является высокий процент непригодных к дальнейшей эксплуатации водопроводных сетей. В связи с высоким износом водопровода (больше 80% водопроводных сетей амортизированы на 100%), общие потери воды составляют более 30%. Для увеличения объема питьевой воды и повышения качества услуги необходимо произвести модернизацию существующей водопроводной сети. В 2014 году по Федеральной программе «Чистая вода» изготовлен проект по реконструкции водопроводных сетей в селе Троицкое  протяженностью 13,5 км.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Как указывалось выше, в настоящее время, как и на период действия Программы, в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</w:rPr>
          <w:t>2030 г</w:t>
        </w:r>
      </w:smartTag>
      <w:r>
        <w:rPr>
          <w:rFonts w:ascii="Times New Roman" w:hAnsi="Times New Roman"/>
          <w:sz w:val="28"/>
          <w:szCs w:val="28"/>
        </w:rPr>
        <w:t>.г., предполагается сохранение экстенсивного хода развития хозяйства в целом. Это обстоятельство вкупе с проблемой сохранения приемлемого уровня экономической доступности ресурсов для населения обуславливает постановку и решение тех вопросов в сфере коммунального хозяйства, неприятие мер по которым грозит созданием чрезвычайных ситуаций с негативными техногенными и экологическими последствиями.</w:t>
      </w:r>
    </w:p>
    <w:p w:rsidR="00F513C7" w:rsidRDefault="00F513C7" w:rsidP="00F513C7">
      <w:pPr>
        <w:pStyle w:val="af6"/>
        <w:ind w:left="135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 учетом мероприятий настоящей Программы должны формироваться программы энергосбережения и повышения энергетической эффективности ОКК Троицкого сельского поселения.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инвестиционными программами ставятся следующие цели: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надежности снабжения ресурсами;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пропускной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ресурсопроводящих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сетей;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свободных мощностей для перспективы развития села;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экологической обстановки в селе;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сбалансированности систем коммунальных систем;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доступности ресурса для потребителей;</w:t>
      </w:r>
    </w:p>
    <w:p w:rsidR="00F513C7" w:rsidRDefault="00F513C7" w:rsidP="00E651E1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производства услуги.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поставленных целей должно быть обеспечено решением следующих задач:</w:t>
      </w:r>
    </w:p>
    <w:p w:rsidR="00F513C7" w:rsidRDefault="00F513C7" w:rsidP="00E651E1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обеспеченности населения ресурсами, снижение уровня потерь;</w:t>
      </w:r>
    </w:p>
    <w:p w:rsidR="00F513C7" w:rsidRDefault="00F513C7" w:rsidP="00E651E1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доли расходов на коммунальные услуги в совокупном доходе семьи;</w:t>
      </w:r>
    </w:p>
    <w:p w:rsidR="00F513C7" w:rsidRDefault="00F513C7" w:rsidP="00E651E1">
      <w:pPr>
        <w:pStyle w:val="af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собираемости платежей за коммунальные услуги;</w:t>
      </w:r>
    </w:p>
    <w:p w:rsidR="00F513C7" w:rsidRDefault="00F513C7" w:rsidP="00E651E1">
      <w:pPr>
        <w:pStyle w:val="af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снижение доли  получателей субсидий на оплату коммунальных услуг в общей численности населения;</w:t>
      </w:r>
    </w:p>
    <w:p w:rsidR="00F513C7" w:rsidRDefault="00F513C7" w:rsidP="00E651E1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рентабельности производства ресурсов, снижение </w:t>
      </w:r>
      <w:proofErr w:type="spellStart"/>
      <w:r>
        <w:rPr>
          <w:rFonts w:ascii="Times New Roman" w:hAnsi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513C7" w:rsidRDefault="00F513C7" w:rsidP="00E651E1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 уровня загрузки производственных мощностей;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выполнения инвестиционных программ (периоды действия) могут корректироваться исполнителями в пределах периода действия настоящей Программы. </w:t>
      </w:r>
    </w:p>
    <w:p w:rsidR="00F513C7" w:rsidRDefault="00F513C7" w:rsidP="00F513C7">
      <w:pPr>
        <w:rPr>
          <w:rFonts w:ascii="Calibri" w:hAnsi="Calibri"/>
        </w:rPr>
      </w:pPr>
    </w:p>
    <w:p w:rsidR="00F513C7" w:rsidRDefault="00F513C7" w:rsidP="00E651E1">
      <w:pPr>
        <w:pStyle w:val="af6"/>
        <w:numPr>
          <w:ilvl w:val="1"/>
          <w:numId w:val="2"/>
        </w:numPr>
        <w:ind w:left="0" w:hanging="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Стратегия ценовой политики в сфере коммунальных услуг на период действия Программы</w:t>
      </w:r>
    </w:p>
    <w:p w:rsidR="00F513C7" w:rsidRDefault="00F513C7" w:rsidP="00F513C7">
      <w:pPr>
        <w:pStyle w:val="af6"/>
        <w:ind w:left="660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ценовой политики в сфере коммунальных услуг на период 2017-2030 годов базируется на действующих в настоящее время федеральных  нормативно-правовых актах, регламентирующих регулирование тарифов на товары и услуги ОКК. В их число входят Федеральные законы: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 261-ФЗ;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Об основах регулирования тарифов организаций коммунального комплекса» от 30.12.2004 г. № 210-ФЗ (в ред. Федеральных законов от 26.12.2006 г. № 184-ФЗ, от 29.12.2006  г. № 258-ФЗ,  от 25.12.2008 г. № 281-ФЗ);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г. № 131-ФЗ (ст. 17), «О  государственном регулировании тарифов на электрическую и тепловую энергию в Российской Федерации» от 14.04.1995 г. № 41-ФЗ, а также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РФ: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от 14.07.2008 г. № 520;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основ формирования предельных индексов изменения размера платы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коммунальные услуги» от 28.08.2009 г. № 708.</w:t>
      </w:r>
    </w:p>
    <w:p w:rsidR="00F513C7" w:rsidRDefault="00F513C7" w:rsidP="00F513C7">
      <w:pPr>
        <w:pStyle w:val="af6"/>
        <w:ind w:left="87" w:firstLine="57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Необходимость и достаточность финансовых средств для выполнения инвестиционных программ рассматривалась исходя их трех факторов: сметной стоимости этих мероприятий, доступности для потребителей тарифов и надбавок, которые должны компенсировать затраты на выполнение предусматриваемых мероприятий по модернизации и строительству основных фондов, используемых в ходе реализации услуг ОКК и возможностей местного бюджета по участию в безвозмездном инвестировании программ.</w:t>
      </w:r>
      <w:proofErr w:type="gramEnd"/>
    </w:p>
    <w:p w:rsidR="00F513C7" w:rsidRDefault="00F513C7" w:rsidP="00F513C7">
      <w:pPr>
        <w:pStyle w:val="af6"/>
        <w:ind w:left="87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решающим фактором являлась доступность тарифов и надбавок для населения, как основного потребителя коммунальных услуг.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28.08.2009 г. № 708 «Об утверждении основ формирования предельных индексов изменения размера платы граждан за коммунальные услуги» доступность для граждан платы за коммунальные услуги определяется на основе устанавливаемой органами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субъектов Российской Федерации системы </w:t>
      </w:r>
      <w:proofErr w:type="gramStart"/>
      <w:r>
        <w:rPr>
          <w:rFonts w:ascii="Times New Roman" w:hAnsi="Times New Roman"/>
          <w:sz w:val="28"/>
          <w:szCs w:val="28"/>
        </w:rPr>
        <w:t>критериев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которую включаются, в том числе, следующие критерии доступности:</w:t>
      </w:r>
    </w:p>
    <w:p w:rsidR="00F513C7" w:rsidRDefault="00F513C7" w:rsidP="00F513C7">
      <w:pPr>
        <w:pStyle w:val="af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доля расходов на коммунальные услуги в совокупном доходе семьи;</w:t>
      </w:r>
    </w:p>
    <w:p w:rsidR="00F513C7" w:rsidRDefault="00F513C7" w:rsidP="00F513C7">
      <w:pPr>
        <w:pStyle w:val="af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доля населения с доходами ниже прожиточного минимума;</w:t>
      </w:r>
    </w:p>
    <w:p w:rsidR="00F513C7" w:rsidRDefault="00F513C7" w:rsidP="00F513C7">
      <w:pPr>
        <w:pStyle w:val="af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собираемости платежей за коммунальные услуги;</w:t>
      </w:r>
    </w:p>
    <w:p w:rsidR="00F513C7" w:rsidRDefault="00F513C7" w:rsidP="00F513C7">
      <w:pPr>
        <w:pStyle w:val="af6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получателей субсидий на оплату коммунальных услуг в общей численности населения.</w:t>
      </w:r>
    </w:p>
    <w:p w:rsidR="00F513C7" w:rsidRDefault="00F513C7" w:rsidP="00F513C7">
      <w:pPr>
        <w:pStyle w:val="af6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настоящей Программы произведена оценка доступности коммунальных услуг для населения по следующим показателям: уровень благоустройства жилищного фонда; обеспечение текущей потребности в услугах; коэффициент покупательской способности граждан; уровень собираемости платежей населения за коммунальные услуги.</w:t>
      </w:r>
      <w:proofErr w:type="gramEnd"/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коммунальных услуг для населения по указанным показателям характеризуется на момент формирования Программы следующими основными параметрами:</w:t>
      </w:r>
    </w:p>
    <w:p w:rsidR="00F513C7" w:rsidRDefault="00F513C7" w:rsidP="00E651E1">
      <w:pPr>
        <w:pStyle w:val="af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жилищного фонда – 80%;</w:t>
      </w:r>
    </w:p>
    <w:p w:rsidR="00F513C7" w:rsidRDefault="00F513C7" w:rsidP="00E651E1">
      <w:pPr>
        <w:pStyle w:val="af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текущей потребности в услугах – 85%;</w:t>
      </w:r>
    </w:p>
    <w:p w:rsidR="00F513C7" w:rsidRDefault="00F513C7" w:rsidP="00E651E1">
      <w:pPr>
        <w:pStyle w:val="af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покупательской способности населения – 2.4-3.0;</w:t>
      </w:r>
    </w:p>
    <w:p w:rsidR="00F513C7" w:rsidRDefault="00F513C7" w:rsidP="00E651E1">
      <w:pPr>
        <w:pStyle w:val="af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собираемости платежей за коммунальные услуги – 97%.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 о приемлемом уровне доступности коммунальных ресурсов для населения в настоящее время.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 2. Мероприятия Программы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приводится перечень мероприятий по модернизации эксплуатируемых основных фондов, а также строительству новых объектов, направленных на выполнение поставленных ранее задач. </w:t>
      </w:r>
    </w:p>
    <w:p w:rsidR="00F513C7" w:rsidRDefault="00F513C7" w:rsidP="00F513C7">
      <w:pPr>
        <w:pStyle w:val="af6"/>
        <w:ind w:firstLine="573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513C7" w:rsidRDefault="00F513C7" w:rsidP="00F513C7">
      <w:pPr>
        <w:pStyle w:val="af6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2.1. Перечень мероприятий для инвестиционных программ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представлен перечень мероприятий по системам водоснабжения,  предлагаемых для включения в инвестиционные программы, реализация которых обеспечит комплексное развитие системы коммунальной инфраструктуры Троицкого сельского поселения.</w:t>
      </w:r>
    </w:p>
    <w:p w:rsidR="00F513C7" w:rsidRDefault="00F513C7" w:rsidP="00F513C7">
      <w:pPr>
        <w:pStyle w:val="af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место ключевые проблемы в системе коммунальной инфраструктуры определили основные направления при формировании мероприятий комплексной программы. 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2.1.1. Мероприятия системы электроснабжения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дальнейшего развития системы электроснабжения настоящей Программой предусматриваются следующие мероприятия: замена 29 светильников на энергосберегающие лампы 4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85 </w:t>
      </w:r>
      <w:r>
        <w:rPr>
          <w:rFonts w:ascii="Times New Roman" w:hAnsi="Times New Roman"/>
          <w:sz w:val="28"/>
          <w:szCs w:val="28"/>
          <w:lang w:val="en-US"/>
        </w:rPr>
        <w:t>WE</w:t>
      </w:r>
      <w:r>
        <w:rPr>
          <w:rFonts w:ascii="Times New Roman" w:hAnsi="Times New Roman"/>
          <w:sz w:val="28"/>
          <w:szCs w:val="28"/>
        </w:rPr>
        <w:t xml:space="preserve"> 40 и дальнейшая реконструкция уличного освещения. </w:t>
      </w:r>
    </w:p>
    <w:p w:rsidR="00F513C7" w:rsidRDefault="00F513C7" w:rsidP="00F513C7">
      <w:pPr>
        <w:pStyle w:val="af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2.1.2. Мероприятия системы водоснабжения</w:t>
      </w:r>
    </w:p>
    <w:p w:rsidR="00F513C7" w:rsidRDefault="00F513C7" w:rsidP="00F513C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указано выше,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водопроводные сети в Троицком сельском поселении  имеют высокую степень износа и требуют оперативной замены. Настоящей программой предлагается произвести реконструкцию сетей  с высокой степенью износа с целью увеличения пропускной способности и снижения потерь воды заменой изношенных чугунных труб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современные - полиэтиленовые. </w:t>
      </w:r>
    </w:p>
    <w:p w:rsidR="00F513C7" w:rsidRDefault="00F513C7" w:rsidP="00F513C7">
      <w:pPr>
        <w:rPr>
          <w:rFonts w:ascii="Calibri" w:hAnsi="Calibri"/>
          <w:lang w:eastAsia="ar-SA"/>
        </w:rPr>
      </w:pPr>
    </w:p>
    <w:p w:rsidR="00F513C7" w:rsidRDefault="00F513C7" w:rsidP="00F513C7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Прогноз перспективного водопотребления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88"/>
        <w:gridCol w:w="1476"/>
        <w:gridCol w:w="1456"/>
        <w:gridCol w:w="1241"/>
        <w:gridCol w:w="1713"/>
        <w:gridCol w:w="1081"/>
      </w:tblGrid>
      <w:tr w:rsidR="00F513C7" w:rsidTr="00F513C7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потребителей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Расчетный срок 2017-2030гг.</w:t>
            </w:r>
          </w:p>
        </w:tc>
      </w:tr>
      <w:tr w:rsidR="00F513C7" w:rsidTr="00F51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Среднесут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расход воды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 расход воды м/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Поливоч-ные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нужды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Коммунально-бытовые нужды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F513C7" w:rsidTr="00F513C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роицкое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280</w:t>
            </w:r>
          </w:p>
        </w:tc>
      </w:tr>
      <w:tr w:rsidR="00F513C7" w:rsidTr="00F513C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280</w:t>
            </w:r>
          </w:p>
        </w:tc>
      </w:tr>
    </w:tbl>
    <w:p w:rsidR="00F513C7" w:rsidRDefault="00F513C7" w:rsidP="00F513C7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513C7" w:rsidRDefault="00F513C7" w:rsidP="00F513C7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513C7" w:rsidRDefault="00F513C7" w:rsidP="00F513C7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513C7" w:rsidRDefault="00F513C7" w:rsidP="00F513C7">
      <w:pPr>
        <w:pStyle w:val="ConsPlusNormal"/>
        <w:widowControl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2.1.3. Строительство  артезианских скважин</w:t>
      </w:r>
    </w:p>
    <w:p w:rsidR="00F513C7" w:rsidRDefault="00F513C7" w:rsidP="00F513C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13C7" w:rsidRDefault="00F513C7" w:rsidP="00F513C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строительства скважины приведен в таблице.</w:t>
      </w:r>
    </w:p>
    <w:p w:rsidR="00F513C7" w:rsidRDefault="00F513C7" w:rsidP="00F513C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План-график строительства артезианской скважины </w:t>
      </w:r>
    </w:p>
    <w:p w:rsidR="00F513C7" w:rsidRDefault="00F513C7" w:rsidP="00F513C7">
      <w:pPr>
        <w:pStyle w:val="ConsPlusNormal"/>
        <w:widowControl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7170" w:type="dxa"/>
        <w:tblInd w:w="-5" w:type="dxa"/>
        <w:tblLayout w:type="fixed"/>
        <w:tblLook w:val="04A0"/>
      </w:tblPr>
      <w:tblGrid>
        <w:gridCol w:w="958"/>
        <w:gridCol w:w="4813"/>
        <w:gridCol w:w="1399"/>
      </w:tblGrid>
      <w:tr w:rsidR="00F513C7" w:rsidTr="00F513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513C7" w:rsidRDefault="00F513C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F513C7" w:rsidRDefault="00F513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</w:tr>
      <w:tr w:rsidR="00F513C7" w:rsidTr="00F513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3C7" w:rsidRDefault="00F513C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Пробурка</w:t>
            </w:r>
            <w:proofErr w:type="spellEnd"/>
            <w:r>
              <w:rPr>
                <w:sz w:val="20"/>
                <w:szCs w:val="20"/>
              </w:rPr>
              <w:t xml:space="preserve"> трех скважин с обсадкой ствола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</w:tr>
      <w:tr w:rsidR="00F513C7" w:rsidTr="00F513C7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3C7" w:rsidRDefault="00F513C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новых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F513C7" w:rsidRDefault="00F513C7" w:rsidP="00F513C7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окончанию срока реализации программы (2030 год) будут достигнуты следующие показатели целевых индикаторов:</w:t>
      </w:r>
    </w:p>
    <w:p w:rsidR="00F513C7" w:rsidRDefault="00F513C7" w:rsidP="00F513C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износ объектов водоснабжения снизится до 15%;</w:t>
      </w:r>
    </w:p>
    <w:p w:rsidR="00F513C7" w:rsidRDefault="00F513C7" w:rsidP="00F513C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потери воды при транспортировке уменьшатся до 12,8%.</w:t>
      </w:r>
    </w:p>
    <w:p w:rsidR="00F513C7" w:rsidRDefault="00F513C7" w:rsidP="00F513C7">
      <w:pPr>
        <w:pStyle w:val="1"/>
        <w:tabs>
          <w:tab w:val="left" w:pos="0"/>
        </w:tabs>
        <w:rPr>
          <w:rFonts w:ascii="Times New Roman" w:hAnsi="Times New Roman"/>
          <w:sz w:val="36"/>
          <w:szCs w:val="36"/>
        </w:rPr>
      </w:pPr>
    </w:p>
    <w:p w:rsidR="00F513C7" w:rsidRDefault="00F513C7" w:rsidP="00F5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  приведено распределение по срокам выполнения мероприятий системы водоснабжения, обоснование необходимости проведения мероприятий, краткая характеристика выполняемых работ, а также основные задачи, которые следует решить при выполнении поставленных целей. </w:t>
      </w:r>
    </w:p>
    <w:p w:rsidR="00F513C7" w:rsidRDefault="00F513C7" w:rsidP="00F513C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системы водоснабжения</w:t>
      </w:r>
    </w:p>
    <w:p w:rsidR="00F513C7" w:rsidRDefault="00F513C7" w:rsidP="00F5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50" w:type="pct"/>
        <w:tblLook w:val="04A0"/>
      </w:tblPr>
      <w:tblGrid>
        <w:gridCol w:w="1702"/>
        <w:gridCol w:w="1598"/>
        <w:gridCol w:w="2029"/>
        <w:gridCol w:w="1416"/>
        <w:gridCol w:w="2155"/>
      </w:tblGrid>
      <w:tr w:rsidR="00F513C7" w:rsidTr="00F513C7">
        <w:trPr>
          <w:trHeight w:val="73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Сроки проведения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Обоснование необходимости выполнения мероприятий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Основные виды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Достигаемые цели и задачи</w:t>
            </w:r>
          </w:p>
        </w:tc>
      </w:tr>
      <w:tr w:rsidR="00F513C7" w:rsidTr="00F513C7">
        <w:trPr>
          <w:trHeight w:val="21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5</w:t>
            </w:r>
          </w:p>
        </w:tc>
      </w:tr>
      <w:tr w:rsidR="00F513C7" w:rsidTr="00F513C7">
        <w:trPr>
          <w:trHeight w:val="229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Модернизация водопроводных сетей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2017-2030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Высокий износ трубопроводов, высокие потери ресурса, внеплановые  затраты на аварийно-восстановительные работы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Замена чугунных труб на трубы ПЭ прокладка нового водопровода </w:t>
            </w:r>
          </w:p>
          <w:p w:rsidR="00F513C7" w:rsidRDefault="00F513C7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 2017 год -13,5 км</w:t>
            </w:r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.,</w:t>
            </w:r>
            <w:proofErr w:type="gramEnd"/>
          </w:p>
          <w:p w:rsidR="00F513C7" w:rsidRDefault="00F513C7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Увеличение надежности, сбалансированности, доступности ресурса: повышение рентабельности, снижение потерь ресурса, увеличение объема отпуска</w:t>
            </w:r>
          </w:p>
        </w:tc>
      </w:tr>
    </w:tbl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513C7" w:rsidRDefault="00F513C7" w:rsidP="00F513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2.2. Основные требования к техническим заданиям на разработку инвестиционных программ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 требованиями Федерального закона от 30.12.2004 г. № 210-ФЗ «Об основах регулирования тарифов организаций коммунального комплекса» инвестиционные программы формируются на основании условий технических заданий, разрабатываемых в свою очередь в соответствии с программой комплексного развития систем коммунальной инфраструктуры.</w:t>
      </w:r>
      <w:proofErr w:type="gramEnd"/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2.2.1. Структура технического задания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разработку каждой инвестиционной программы составляются  отдельные  технические задания. При этом в техническом задании отражаются следующие основные разделы.</w:t>
      </w:r>
    </w:p>
    <w:p w:rsidR="00F513C7" w:rsidRDefault="00400912" w:rsidP="00F513C7">
      <w:pPr>
        <w:pStyle w:val="af6"/>
        <w:ind w:firstLine="708"/>
        <w:rPr>
          <w:rFonts w:ascii="Times New Roman" w:hAnsi="Times New Roman"/>
          <w:noProof/>
          <w:sz w:val="28"/>
          <w:szCs w:val="28"/>
        </w:rPr>
      </w:pPr>
      <w:hyperlink r:id="rId27" w:anchor="_Toc207980293#_Toc207980293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1. Основание для разработки инвестиционной программы</w:t>
        </w:r>
      </w:hyperlink>
      <w:r w:rsidR="00F513C7">
        <w:rPr>
          <w:rStyle w:val="a4"/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firstLine="708"/>
        <w:rPr>
          <w:rFonts w:ascii="Times New Roman" w:hAnsi="Times New Roman"/>
          <w:noProof/>
          <w:sz w:val="28"/>
          <w:szCs w:val="28"/>
        </w:rPr>
      </w:pPr>
      <w:hyperlink r:id="rId28" w:anchor="_Toc207980294#_Toc207980294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2. Цели, задачи и основные направления</w:t>
        </w:r>
      </w:hyperlink>
      <w:r w:rsidR="00F513C7">
        <w:rPr>
          <w:rStyle w:val="a4"/>
          <w:rFonts w:ascii="Times New Roman" w:hAnsi="Times New Roman"/>
          <w:noProof/>
          <w:sz w:val="28"/>
          <w:szCs w:val="28"/>
        </w:rPr>
        <w:t xml:space="preserve"> </w:t>
      </w:r>
      <w:hyperlink r:id="rId29" w:anchor="_Toc207980295#_Toc207980295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инвестиционной программы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30" w:anchor="_Toc207980296#_Toc207980296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2.1. Целевые индикаторы инвестиционной программы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31" w:anchor="_Toc207980302#_Toc207980302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2.2. Задачи и основные направления инвестиционной программы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firstLine="708"/>
        <w:rPr>
          <w:rFonts w:ascii="Times New Roman" w:hAnsi="Times New Roman"/>
          <w:noProof/>
          <w:sz w:val="28"/>
          <w:szCs w:val="28"/>
        </w:rPr>
      </w:pPr>
      <w:hyperlink r:id="rId32" w:anchor="_Toc207980303#_Toc207980303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3. Основные требования к инвестиционной программе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33" w:anchor="_Toc207980304#_Toc207980304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3.1. Структура инвестиционной программы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jc w:val="center"/>
        <w:rPr>
          <w:rFonts w:ascii="Times New Roman" w:hAnsi="Times New Roman"/>
          <w:noProof/>
          <w:sz w:val="28"/>
          <w:szCs w:val="28"/>
        </w:rPr>
      </w:pPr>
      <w:hyperlink r:id="rId34" w:anchor="_Toc207980311#_Toc207980311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3.2. Сроки разработки инвестиционной программы</w:t>
        </w:r>
      </w:hyperlink>
      <w:r w:rsidR="00F513C7">
        <w:rPr>
          <w:rFonts w:ascii="Times New Roman" w:hAnsi="Times New Roman"/>
          <w:noProof/>
          <w:sz w:val="28"/>
          <w:szCs w:val="28"/>
        </w:rPr>
        <w:t>.</w:t>
      </w:r>
    </w:p>
    <w:p w:rsidR="00F513C7" w:rsidRDefault="00400912" w:rsidP="00F513C7">
      <w:pPr>
        <w:pStyle w:val="af6"/>
        <w:ind w:firstLine="708"/>
        <w:rPr>
          <w:rStyle w:val="a4"/>
          <w:color w:val="auto"/>
          <w:u w:val="none"/>
        </w:rPr>
      </w:pPr>
      <w:hyperlink r:id="rId35" w:anchor="_Toc207980314#_Toc207980314" w:history="1">
        <w:r w:rsidR="00F513C7">
          <w:rPr>
            <w:rStyle w:val="a4"/>
            <w:rFonts w:ascii="Times New Roman" w:hAnsi="Times New Roman"/>
            <w:noProof/>
            <w:sz w:val="28"/>
            <w:szCs w:val="28"/>
          </w:rPr>
          <w:t>4. Условия реализации инвестиционной программ</w:t>
        </w:r>
      </w:hyperlink>
      <w:r w:rsidR="00F513C7">
        <w:rPr>
          <w:rStyle w:val="a4"/>
          <w:rFonts w:ascii="Times New Roman" w:hAnsi="Times New Roman"/>
          <w:noProof/>
          <w:sz w:val="28"/>
          <w:szCs w:val="28"/>
        </w:rPr>
        <w:t>ы.</w:t>
      </w:r>
    </w:p>
    <w:p w:rsidR="00F513C7" w:rsidRDefault="00F513C7" w:rsidP="00F513C7">
      <w:pPr>
        <w:pStyle w:val="af6"/>
        <w:ind w:firstLine="708"/>
        <w:rPr>
          <w:rStyle w:val="a4"/>
          <w:rFonts w:ascii="Times New Roman" w:hAnsi="Times New Roman"/>
          <w:noProof/>
          <w:sz w:val="28"/>
          <w:szCs w:val="28"/>
        </w:rPr>
      </w:pPr>
    </w:p>
    <w:p w:rsidR="00F513C7" w:rsidRDefault="00F513C7" w:rsidP="00F513C7">
      <w:pPr>
        <w:pStyle w:val="af6"/>
        <w:ind w:firstLine="708"/>
        <w:rPr>
          <w:rStyle w:val="a4"/>
          <w:rFonts w:ascii="Times New Roman" w:hAnsi="Times New Roman"/>
          <w:noProof/>
          <w:sz w:val="28"/>
          <w:szCs w:val="28"/>
        </w:rPr>
      </w:pPr>
    </w:p>
    <w:p w:rsidR="00F513C7" w:rsidRDefault="00F513C7" w:rsidP="00F513C7">
      <w:pPr>
        <w:pStyle w:val="af6"/>
        <w:ind w:firstLine="708"/>
        <w:rPr>
          <w:rStyle w:val="a4"/>
          <w:rFonts w:ascii="Times New Roman" w:hAnsi="Times New Roman"/>
          <w:noProof/>
          <w:sz w:val="28"/>
          <w:szCs w:val="28"/>
        </w:rPr>
      </w:pPr>
    </w:p>
    <w:p w:rsidR="00F513C7" w:rsidRDefault="00F513C7" w:rsidP="00F513C7">
      <w:pPr>
        <w:pStyle w:val="af6"/>
        <w:ind w:firstLine="708"/>
        <w:rPr>
          <w:rStyle w:val="a4"/>
        </w:rPr>
      </w:pPr>
    </w:p>
    <w:p w:rsidR="00F513C7" w:rsidRDefault="00F513C7" w:rsidP="00F513C7">
      <w:pPr>
        <w:pStyle w:val="af6"/>
        <w:ind w:firstLine="708"/>
      </w:pPr>
    </w:p>
    <w:p w:rsidR="00F513C7" w:rsidRDefault="00F513C7" w:rsidP="00F513C7">
      <w:pPr>
        <w:pStyle w:val="af6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2.2.2. Целевые индикаторы инвестиционных программ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Рекомендуемая в настоящем разделе система целевых индикаторов составлена с учетом Приказа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разработке Инвестиционной программы следует проанализировать следующие целевые индикаторы за период трех лет, предшествующих году составления программы: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надежность (бесперебойность) снабжения потребителей предоставляемыми услугами водоснабжения;</w:t>
      </w:r>
    </w:p>
    <w:p w:rsidR="00F513C7" w:rsidRDefault="00F513C7" w:rsidP="00E651E1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сбалансированность систем водоснабжения;</w:t>
      </w:r>
    </w:p>
    <w:p w:rsidR="00F513C7" w:rsidRDefault="00F513C7" w:rsidP="00E651E1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услуг водоснабжения для потребителей;</w:t>
      </w:r>
    </w:p>
    <w:p w:rsidR="00F513C7" w:rsidRDefault="00F513C7" w:rsidP="00E651E1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ОКК;</w:t>
      </w:r>
    </w:p>
    <w:p w:rsidR="00F513C7" w:rsidRDefault="00F513C7" w:rsidP="00E651E1">
      <w:pPr>
        <w:pStyle w:val="af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экологических требований.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целевых индикаторов производить по следующим показателям: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2.2.2.1. Надежность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2.2.2.1.1. Коэффициент аварийности: отношение количества аварий к общей протяженности сетей.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2.2.2.1.2. Среднее время ликвидации одной аварии, измеряемое в сутках.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2.2.2.1.3. Показатели движения основных фондов (ОФ) по приведенным ниже формулам: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износа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из</w:t>
      </w:r>
      <w:proofErr w:type="spellEnd"/>
      <w:r w:rsidR="0040091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20"/>
        </w:rPr>
        <w:drawing>
          <wp:inline distT="0" distB="0" distL="0" distR="0">
            <wp:extent cx="184785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 w:rsidR="00400912"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1847850" cy="333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1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100%;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годности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100% 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обновления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091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18"/>
        </w:rPr>
        <w:drawing>
          <wp:inline distT="0" distB="0" distL="0" distR="0">
            <wp:extent cx="1390650" cy="32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 w:rsidR="00400912"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18"/>
        </w:rPr>
        <w:drawing>
          <wp:inline distT="0" distB="0" distL="0" distR="0">
            <wp:extent cx="1390650" cy="3238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1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100%;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выбытия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091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18"/>
        </w:rPr>
        <w:drawing>
          <wp:inline distT="0" distB="0" distL="0" distR="0">
            <wp:extent cx="1476375" cy="3238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 w:rsidR="00400912"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18"/>
        </w:rPr>
        <w:drawing>
          <wp:inline distT="0" distB="0" distL="0" distR="0">
            <wp:extent cx="1476375" cy="323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1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2.2.2.1.4. Объем ресурса: выработка, собственные нужды, потери, полезный отпуск.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2.2.2.1.3. Отобразить динамику объема ресурса по следующим параметрам: полезный отпуск (</w:t>
      </w:r>
      <w:r>
        <w:rPr>
          <w:rFonts w:ascii="Times New Roman" w:hAnsi="Times New Roman"/>
          <w:i/>
          <w:sz w:val="28"/>
          <w:szCs w:val="28"/>
        </w:rPr>
        <w:t>в том числе населению и прочим потребителям</w:t>
      </w:r>
      <w:r>
        <w:rPr>
          <w:rFonts w:ascii="Times New Roman" w:hAnsi="Times New Roman"/>
          <w:sz w:val="28"/>
          <w:szCs w:val="28"/>
        </w:rPr>
        <w:t>), потери, собственные нужды.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2.2.2.2. Сбалансированность системы коммунальной инфраструктуры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2.2.2.2.1. Уровень загрузки производственных мощностей: отношение фактической производительности используемого оборудования к установленной производительности.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2.2.2.2.2. Обеспеченность приборами учета: процентное соотношение объема услуг, реализуемых по приборам учета к общему объему реализации.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2.2.2.3. Доступность оказываемых услуг для потребителей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2.2.2.3.1. Физическая доступность.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2.2.2.3.1.1.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благоустройства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как отношение общей площади жилищного фонда, оборудованного инженерными коммуникациями, к общей площади жилищного фонда муниципального образования и рассчитывается по формуле: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pt" o:ole="">
            <v:imagedata r:id="rId39" o:title=""/>
          </v:shape>
          <o:OLEObject Type="Embed" ProgID="Equation.3" ShapeID="_x0000_i1025" DrawAspect="Content" ObjectID="_1562072728" r:id="rId40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F513C7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уровень благоустройства жилищного фонда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услугой, %;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)об </w:t>
      </w:r>
      <w:r>
        <w:rPr>
          <w:rFonts w:ascii="Times New Roman" w:hAnsi="Times New Roman"/>
          <w:sz w:val="28"/>
          <w:szCs w:val="28"/>
        </w:rPr>
        <w:t xml:space="preserve">- общая площадь жилищного фонда, оборудованного инженерными коммуникациями, для предоставления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услуги, тыс. кв. метров;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всего </w:t>
      </w:r>
      <w:r>
        <w:rPr>
          <w:rFonts w:ascii="Times New Roman" w:hAnsi="Times New Roman"/>
          <w:sz w:val="28"/>
          <w:szCs w:val="28"/>
        </w:rPr>
        <w:t>- общая площадь жилищного фонда городского округа;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коммунальная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услуга.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2.2.2.3.1.2.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Коэффициент обеспечения текущей потребности в услуге.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коэффициента обеспечения текущей потребности в услуге производится исходя из фактического объема реализации услуги на 1 чел. к общей численности граждан проживающих в жилищном фонде, оборудованном инженерными коммуникациями, и рассчитывается по формуле: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160" w:dyaOrig="720">
          <v:shape id="_x0000_i1026" type="#_x0000_t75" style="width:108pt;height:36pt" o:ole="">
            <v:imagedata r:id="rId41" o:title=""/>
          </v:shape>
          <o:OLEObject Type="Embed" ProgID="Equation.3" ShapeID="_x0000_i1026" DrawAspect="Content" ObjectID="_1562072729" r:id="rId42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00" w:dyaOrig="380">
          <v:shape id="_x0000_i1027" type="#_x0000_t75" style="width:24.75pt;height:18pt" o:ole="">
            <v:imagedata r:id="rId43" o:title=""/>
          </v:shape>
          <o:OLEObject Type="Embed" ProgID="Equation.3" ShapeID="_x0000_i1027" DrawAspect="Content" ObjectID="_1562072730" r:id="rId44"/>
        </w:object>
      </w:r>
      <w:r>
        <w:rPr>
          <w:rFonts w:ascii="Times New Roman" w:hAnsi="Times New Roman"/>
          <w:sz w:val="28"/>
          <w:szCs w:val="28"/>
        </w:rPr>
        <w:t xml:space="preserve"> - коэффициент обеспечения текущей потребности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ой услуге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F513C7" w:rsidRDefault="00F513C7" w:rsidP="00F513C7">
      <w:pPr>
        <w:pStyle w:val="af6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0" w:dyaOrig="380">
          <v:shape id="_x0000_i1028" type="#_x0000_t75" style="width:17.25pt;height:18pt" o:ole="">
            <v:imagedata r:id="rId45" o:title=""/>
          </v:shape>
          <o:OLEObject Type="Embed" ProgID="Equation.3" ShapeID="_x0000_i1028" DrawAspect="Content" ObjectID="_1562072731" r:id="rId46"/>
        </w:object>
      </w:r>
      <w:r>
        <w:rPr>
          <w:rFonts w:ascii="Times New Roman" w:hAnsi="Times New Roman"/>
          <w:sz w:val="28"/>
          <w:szCs w:val="28"/>
        </w:rPr>
        <w:t xml:space="preserve"> - прогнозный объем реализации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 ой услуги, предусмотренный в производственной программе, ед.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услуги;</w:t>
      </w:r>
    </w:p>
    <w:p w:rsidR="00F513C7" w:rsidRDefault="00F513C7" w:rsidP="00F513C7">
      <w:pPr>
        <w:pStyle w:val="af6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0" w:dyaOrig="320">
          <v:shape id="_x0000_i1029" type="#_x0000_t75" style="width:17.25pt;height:15.75pt" o:ole="">
            <v:imagedata r:id="rId47" o:title=""/>
          </v:shape>
          <o:OLEObject Type="Embed" ProgID="Equation.3" ShapeID="_x0000_i1029" DrawAspect="Content" ObjectID="_1562072732" r:id="rId48"/>
        </w:object>
      </w:r>
      <w:r>
        <w:rPr>
          <w:rFonts w:ascii="Times New Roman" w:hAnsi="Times New Roman"/>
          <w:sz w:val="28"/>
          <w:szCs w:val="28"/>
        </w:rPr>
        <w:t xml:space="preserve"> - средний норматив потребления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 ой услуги на 1 чел.</w:t>
      </w:r>
    </w:p>
    <w:p w:rsidR="00F513C7" w:rsidRDefault="00F513C7" w:rsidP="00F513C7">
      <w:pPr>
        <w:pStyle w:val="af6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80">
          <v:shape id="_x0000_i1030" type="#_x0000_t75" style="width:18pt;height:18pt" o:ole="">
            <v:imagedata r:id="rId49" o:title=""/>
          </v:shape>
          <o:OLEObject Type="Embed" ProgID="Equation.3" ShapeID="_x0000_i1030" DrawAspect="Content" ObjectID="_1562072733" r:id="rId50"/>
        </w:object>
      </w:r>
      <w:r>
        <w:rPr>
          <w:rFonts w:ascii="Times New Roman" w:hAnsi="Times New Roman"/>
          <w:sz w:val="28"/>
          <w:szCs w:val="28"/>
        </w:rPr>
        <w:t xml:space="preserve"> - общая численность граждан, проживающих в жилищном фонде, оборудованном инженерными коммуникациями для предоставления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ой услуги, чел.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2.2.2.3.2. Экономическая доступность.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Средний срок оборачиваемости дебиторской задолженности за коммунальные услуги, предоставленные абонентам: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80" w:dyaOrig="720">
          <v:shape id="_x0000_i1031" type="#_x0000_t75" style="width:84pt;height:36pt" o:ole="">
            <v:imagedata r:id="rId51" o:title=""/>
          </v:shape>
          <o:OLEObject Type="Embed" ProgID="Equation.3" ShapeID="_x0000_i1031" DrawAspect="Content" ObjectID="_1562072734" r:id="rId52"/>
        </w:object>
      </w:r>
      <w:r>
        <w:rPr>
          <w:rFonts w:ascii="Times New Roman" w:hAnsi="Times New Roman"/>
          <w:sz w:val="28"/>
          <w:szCs w:val="28"/>
        </w:rPr>
        <w:t>, где: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40" w:dyaOrig="380">
          <v:shape id="_x0000_i1032" type="#_x0000_t75" style="width:21pt;height:18pt" o:ole="">
            <v:imagedata r:id="rId53" o:title=""/>
          </v:shape>
          <o:OLEObject Type="Embed" ProgID="Equation.3" ShapeID="_x0000_i1032" DrawAspect="Content" ObjectID="_1562072735" r:id="rId54"/>
        </w:object>
      </w:r>
      <w:r>
        <w:rPr>
          <w:rFonts w:ascii="Times New Roman" w:hAnsi="Times New Roman"/>
          <w:sz w:val="28"/>
          <w:szCs w:val="28"/>
        </w:rPr>
        <w:t xml:space="preserve"> - средний срок оборачиваемости дебиторской задолженности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услуге, дней;</w:t>
      </w:r>
    </w:p>
    <w:p w:rsidR="00F513C7" w:rsidRDefault="00F513C7" w:rsidP="00F513C7">
      <w:pPr>
        <w:pStyle w:val="af6"/>
        <w:jc w:val="both"/>
        <w:rPr>
          <w:rStyle w:val="20"/>
          <w:rFonts w:eastAsia="MS Mincho"/>
          <w:sz w:val="28"/>
          <w:szCs w:val="28"/>
        </w:rPr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80" w:dyaOrig="380">
          <v:shape id="_x0000_i1033" type="#_x0000_t75" style="width:18pt;height:18pt" o:ole="">
            <v:imagedata r:id="rId55" o:title=""/>
          </v:shape>
          <o:OLEObject Type="Embed" ProgID="Equation.3" ShapeID="_x0000_i1033" DrawAspect="Content" ObjectID="_1562072736" r:id="rId56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20"/>
          <w:rFonts w:eastAsia="MS Mincho"/>
          <w:sz w:val="28"/>
          <w:szCs w:val="28"/>
        </w:rPr>
        <w:t>объем дебиторской задолженности потребителей перед организациями коммунального комплекса по i-ой услуге, тыс. руб.;</w:t>
      </w:r>
    </w:p>
    <w:p w:rsidR="00F513C7" w:rsidRDefault="00F513C7" w:rsidP="00F513C7">
      <w:pPr>
        <w:pStyle w:val="af6"/>
        <w:jc w:val="both"/>
      </w:pPr>
      <w:r w:rsidRPr="009016E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00" w:dyaOrig="380">
          <v:shape id="_x0000_i1034" type="#_x0000_t75" style="width:21pt;height:18pt" o:ole="">
            <v:imagedata r:id="rId57" o:title=""/>
          </v:shape>
          <o:OLEObject Type="Embed" ProgID="Equation.3" ShapeID="_x0000_i1034" DrawAspect="Content" ObjectID="_1562072737" r:id="rId58"/>
        </w:object>
      </w:r>
      <w:r>
        <w:rPr>
          <w:rFonts w:ascii="Times New Roman" w:hAnsi="Times New Roman"/>
          <w:sz w:val="28"/>
          <w:szCs w:val="28"/>
        </w:rPr>
        <w:t xml:space="preserve"> - прогнозный объем реализации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услуги организацией коммунального комплекса, тыс. руб.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2.2.2.3.2.2. Коэффициент соответствия установленных тарифов производственным затратам: процентное отношение установленного тарифа к тарифу, уровень которого обеспечивает полное возмещение затрат (себестоимость с минимальной рентабельностью 3-5%).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2.2.2.3.2.3. Доля расходов на коммунальные услуги в совокупном доходе семьи: процентное отношение расходов на коммунальные услуги к совокупному доходу семьи в муниципальном образовании.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2.2.2.4. Эффективность деятельности предприятия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2.2.2.4.1. Рентабельность: отношение полученной прибыли к полной производственной себестоимости.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2.2.2.4.2. Энергоемкость: средний расход электроэнергии на производство ресурса (отношение общего расхода электроэнергии к полезному отпуску).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2.2.2.4.3. Уровень сбора платежей: отношение объема собранных средств к объему начисленных средств.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2.2.2.5. Обеспечение экологических требований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2.2.2.5.1. Соответствие нормам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2.2.2.5.2. Соответствие установленным нормам ПДК.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2.2.2.5.3. Количество претензий по качеству услуги со стороны надзорных органов.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2.2.2.5.4. Количество аварий, приведших к неблагоприятным экологическим последствиям.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Ниже, в таблице  приведен перечень целевых индикаторов, рекомендуемых при формировании инвестиционных программ. В гр. 2 приведены рекомендуемые показатели для каждого индикатора. Конкретные показатели целевых индикаторов уточняются для каждой инвестиционной программы </w:t>
      </w:r>
      <w:r>
        <w:rPr>
          <w:rFonts w:ascii="Times New Roman" w:hAnsi="Times New Roman"/>
          <w:sz w:val="28"/>
          <w:szCs w:val="28"/>
        </w:rPr>
        <w:tab/>
        <w:t xml:space="preserve">в зависимости от намечаемых мероприятий. В гр. 4 даны значения нормативов-индикаторов (по разработкам Института экономики ЖКХ, М.,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.), достижение или приближение к которым должно стать основной задачей при планировании мероприятий инвестиционных программ ОКК.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целевых индикаторов, применяемых при формировании инвестиционных программ</w:t>
      </w:r>
    </w:p>
    <w:p w:rsidR="00F513C7" w:rsidRDefault="00F513C7" w:rsidP="00F513C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4290"/>
        <w:gridCol w:w="1210"/>
        <w:gridCol w:w="1351"/>
      </w:tblGrid>
      <w:tr w:rsidR="00F513C7" w:rsidTr="00F513C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Надежность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1.1.Коэффициент аварийности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0.4-0.5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Среднее время ликвидации аварии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0.3-0.4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0.4-0.5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Показатели движения ОФ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1.4.1. Коэффициент износа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1.4.2.Коэффициент годности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1.4.3.Коэффициент обновления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1.4.4.Коэффициент выбытия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1.5.Объем ресурса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1.5.1.Выработка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1.5.2.Собственные нужды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1.5.3.Потери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1.6.4.Полезный отпуск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Сбалансированность системы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2.1.Уровень загрузки производственных мощностей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85-90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Обеспеченность приборами учета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3.Доступность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3.1.Физичкская доступность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3.1.1.Уровень благоустройства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60-75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Коэффициент обеспечения текущей потребности в услуге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90-94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3.2.Экономическая доступность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3.2.1.Срок оборачиваемости дебиторской задолженности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91-140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3.2.2.Коэффициент соответствия установленных тарифов затратам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100-115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3.2.3.Доля расходов на коммунальные услуги в совокупном доходе семьи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7.0-15.0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Эффективность деятельности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4.1.Рентабельность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4.2.Энергоемкость для водоснабжения (для водоотведения)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0.65-0.93 (0.32-0.47)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4.3.Уровень сбора платежей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Обеспечение экологических требований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5.1.Соответствие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ормы</w:t>
            </w: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Соответствие установленным нормам  ПДК, ПДС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ормы</w:t>
            </w:r>
            <w:proofErr w:type="spellEnd"/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Количество претензий по качеству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питьевой воды со стороны надзорных органов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3C7" w:rsidTr="00F513C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Количество аварий, приведших к неблагоприятным экологическим последствиям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C7" w:rsidRDefault="00F513C7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3C7" w:rsidRDefault="00F513C7" w:rsidP="00F513C7">
      <w:pPr>
        <w:pStyle w:val="af6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513C7" w:rsidRDefault="00F513C7" w:rsidP="00F513C7">
      <w:pPr>
        <w:pStyle w:val="af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инвестиционных программ необходимо производить анализ всех целевых индикаторов с последующим отбором тех</w:t>
      </w:r>
      <w:r>
        <w:rPr>
          <w:rFonts w:ascii="Times New Roman" w:hAnsi="Times New Roman"/>
          <w:sz w:val="28"/>
          <w:szCs w:val="28"/>
        </w:rPr>
        <w:tab/>
        <w:t xml:space="preserve"> показателей, которые наиболее полно характеризуют каждое из мероприятий.</w:t>
      </w:r>
    </w:p>
    <w:p w:rsidR="00F513C7" w:rsidRDefault="00F513C7" w:rsidP="00F513C7">
      <w:pPr>
        <w:pStyle w:val="af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6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359/ГС от 01.10.2013 г., к которым относятся: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доступности коммунальных услуг для населения;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спроса на коммунальные ресурсы и перспективные нагрузки;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величины новых нагрузок;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качества поставляемого ресурса;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степени охвата потребителей приборами учета;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надежности поставки ресурсов;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эффективности производства и транспортировки ресурсов;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эффективности потребления коммунальных ресурсов; </w:t>
      </w:r>
    </w:p>
    <w:p w:rsidR="00F513C7" w:rsidRDefault="00F513C7" w:rsidP="00E651E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воздействия на окружающую среду.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данного Муниципального образования. Целевые показатели развития коммунальной инфраструктуры Муниципального образования представлены в таблице.</w:t>
      </w:r>
    </w:p>
    <w:p w:rsidR="00F513C7" w:rsidRDefault="00F513C7" w:rsidP="00F513C7">
      <w:pPr>
        <w:pStyle w:val="af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  <w:sectPr w:rsidR="00F513C7">
          <w:pgSz w:w="11906" w:h="16838"/>
          <w:pgMar w:top="1134" w:right="851" w:bottom="1134" w:left="1701" w:header="709" w:footer="709" w:gutter="0"/>
          <w:cols w:space="720"/>
        </w:sectPr>
      </w:pPr>
    </w:p>
    <w:p w:rsidR="00F513C7" w:rsidRDefault="00F513C7" w:rsidP="00F513C7">
      <w:pPr>
        <w:pStyle w:val="af6"/>
        <w:rPr>
          <w:rFonts w:ascii="Times New Roman" w:hAnsi="Times New Roman"/>
          <w:sz w:val="20"/>
          <w:szCs w:val="20"/>
        </w:rPr>
      </w:pPr>
    </w:p>
    <w:p w:rsidR="00F513C7" w:rsidRDefault="00F513C7" w:rsidP="00F513C7">
      <w:pPr>
        <w:pStyle w:val="af6"/>
        <w:rPr>
          <w:rFonts w:ascii="Times New Roman" w:hAnsi="Times New Roman"/>
          <w:sz w:val="20"/>
          <w:szCs w:val="20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инвестиционных проектов, обеспечивающих достижение целевых показателей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по развитию и модернизации системы коммунальной инфраструктуры представлен в таблице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671"/>
        <w:gridCol w:w="3021"/>
        <w:gridCol w:w="1901"/>
        <w:gridCol w:w="1500"/>
        <w:gridCol w:w="240"/>
        <w:gridCol w:w="1280"/>
        <w:gridCol w:w="840"/>
        <w:gridCol w:w="840"/>
        <w:gridCol w:w="820"/>
        <w:gridCol w:w="840"/>
        <w:gridCol w:w="840"/>
        <w:gridCol w:w="680"/>
        <w:gridCol w:w="140"/>
        <w:gridCol w:w="1521"/>
        <w:gridCol w:w="30"/>
      </w:tblGrid>
      <w:tr w:rsidR="00F513C7" w:rsidTr="00F513C7">
        <w:trPr>
          <w:trHeight w:val="276"/>
        </w:trPr>
        <w:tc>
          <w:tcPr>
            <w:tcW w:w="7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48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33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Технические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Обоснование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2022-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Цель проекта</w:t>
            </w: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стоимости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п.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 тыс.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2024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проекта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4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23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Водоснабжение</w:t>
            </w: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3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21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Наладить коммерческий учет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укрупненным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покозателям</w:t>
            </w:r>
            <w:proofErr w:type="spellEnd"/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250 шт.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водомеров на вводах водопровода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15"/>
          <w:wAfter w:w="15160" w:type="dxa"/>
          <w:trHeight w:val="40"/>
        </w:trPr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3C7" w:rsidTr="00F513C7">
        <w:trPr>
          <w:trHeight w:val="21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Оборудование всех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Улучшение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4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8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водоснабжения системами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269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водоснабжения</w:t>
            </w: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90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49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автоматического управления и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Подключение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показателям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регулирования.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5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новых абонентов</w:t>
            </w: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8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676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Улучшение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23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По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Замена насосов существующих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водоснабжения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66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 шт.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75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80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250</w:t>
            </w:r>
          </w:p>
        </w:tc>
        <w:tc>
          <w:tcPr>
            <w:tcW w:w="680" w:type="dxa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01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Подключение</w:t>
            </w: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показателям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новых абонентов</w:t>
            </w:r>
          </w:p>
        </w:tc>
        <w:tc>
          <w:tcPr>
            <w:tcW w:w="150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trHeight w:val="9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15"/>
          <w:wAfter w:w="15160" w:type="dxa"/>
          <w:trHeight w:val="96"/>
        </w:trPr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513C7" w:rsidRDefault="00400912" w:rsidP="00F513C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400912">
        <w:rPr>
          <w:rFonts w:ascii="Calibri" w:hAnsi="Calibri"/>
        </w:rPr>
        <w:pict>
          <v:line id="Line 15" o:spid="_x0000_s1039" style="position:absolute;z-index:-251655680;visibility:visible;mso-position-horizontal-relative:text;mso-position-vertical-relative:text" from="598.05pt,-424.2pt" to="639.1pt,-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i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" o:allowincell="f" strokecolor="white" strokeweight=".16931mm"/>
        </w:pict>
      </w:r>
      <w:r w:rsidRPr="00400912">
        <w:rPr>
          <w:rFonts w:ascii="Calibri" w:hAnsi="Calibri"/>
        </w:rPr>
        <w:pict>
          <v:line id="Line 16" o:spid="_x0000_s1040" style="position:absolute;z-index:-251654656;visibility:visible;mso-position-horizontal-relative:text;mso-position-vertical-relative:text" from="639.55pt,-424.2pt" to="680.5pt,-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s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" o:allowincell="f" strokecolor="white" strokeweight=".16931mm"/>
        </w:pict>
      </w:r>
    </w:p>
    <w:tbl>
      <w:tblPr>
        <w:tblW w:w="15250" w:type="dxa"/>
        <w:tblCellMar>
          <w:left w:w="0" w:type="dxa"/>
          <w:right w:w="0" w:type="dxa"/>
        </w:tblCellMar>
        <w:tblLook w:val="04A0"/>
      </w:tblPr>
      <w:tblGrid>
        <w:gridCol w:w="40"/>
        <w:gridCol w:w="643"/>
        <w:gridCol w:w="2940"/>
        <w:gridCol w:w="12"/>
        <w:gridCol w:w="1857"/>
        <w:gridCol w:w="20"/>
        <w:gridCol w:w="1465"/>
        <w:gridCol w:w="26"/>
        <w:gridCol w:w="250"/>
        <w:gridCol w:w="33"/>
        <w:gridCol w:w="1493"/>
        <w:gridCol w:w="32"/>
        <w:gridCol w:w="783"/>
        <w:gridCol w:w="34"/>
        <w:gridCol w:w="790"/>
        <w:gridCol w:w="37"/>
        <w:gridCol w:w="768"/>
        <w:gridCol w:w="40"/>
        <w:gridCol w:w="779"/>
        <w:gridCol w:w="43"/>
        <w:gridCol w:w="775"/>
        <w:gridCol w:w="45"/>
        <w:gridCol w:w="622"/>
        <w:gridCol w:w="49"/>
        <w:gridCol w:w="85"/>
        <w:gridCol w:w="48"/>
        <w:gridCol w:w="1452"/>
        <w:gridCol w:w="30"/>
        <w:gridCol w:w="26"/>
        <w:gridCol w:w="33"/>
      </w:tblGrid>
      <w:tr w:rsidR="00E651E1" w:rsidTr="00F513C7">
        <w:trPr>
          <w:trHeight w:val="258"/>
        </w:trPr>
        <w:tc>
          <w:tcPr>
            <w:tcW w:w="7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31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dxa"/>
            <w:gridSpan w:val="5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45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31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Технические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Обоснование</w:t>
            </w: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</w:t>
            </w:r>
            <w:proofErr w:type="spellEnd"/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2022-</w:t>
            </w:r>
          </w:p>
        </w:tc>
        <w:tc>
          <w:tcPr>
            <w:tcW w:w="683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2025-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Цель проекта</w:t>
            </w:r>
          </w:p>
        </w:tc>
        <w:tc>
          <w:tcPr>
            <w:tcW w:w="1506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стоимости</w:t>
            </w: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п.</w:t>
            </w: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 тыс.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2021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2024</w:t>
            </w:r>
          </w:p>
        </w:tc>
        <w:tc>
          <w:tcPr>
            <w:tcW w:w="683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2030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проекта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2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3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21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3031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3C7" w:rsidRDefault="0054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4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Водоснабжение</w:t>
            </w: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3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9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07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35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13C7" w:rsidRDefault="00F513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9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монтаж системы водоснабжения для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роицкое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водоснабжения. Подключение новых абонентов.</w:t>
            </w: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7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251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36000,0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18000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показателям</w:t>
            </w: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0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14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trHeight w:val="7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70"/>
        </w:trPr>
        <w:tc>
          <w:tcPr>
            <w:tcW w:w="7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1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48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33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Технические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Обоснование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2022-</w:t>
            </w: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2025-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Цель проекта</w:t>
            </w: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стоимости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п.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 тыс.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2021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2024</w:t>
            </w: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2030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проекта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4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23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301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  <w:hideMark/>
          </w:tcPr>
          <w:p w:rsidR="00F513C7" w:rsidRDefault="00540684" w:rsidP="005406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Электроснабжение</w:t>
            </w: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3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21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1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54068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540684" w:rsidP="005406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светильников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энергосберегающие лампы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1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651E1" w:rsidTr="00F513C7">
        <w:trPr>
          <w:gridAfter w:val="2"/>
          <w:wAfter w:w="61" w:type="dxa"/>
          <w:trHeight w:val="11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40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684" w:rsidTr="00F513C7">
        <w:trPr>
          <w:gridAfter w:val="2"/>
          <w:wAfter w:w="61" w:type="dxa"/>
          <w:trHeight w:val="212"/>
        </w:trPr>
        <w:tc>
          <w:tcPr>
            <w:tcW w:w="7359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               Итого: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 w:rsidP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51E1">
              <w:rPr>
                <w:rFonts w:ascii="Times New Roman" w:hAnsi="Times New Roman"/>
              </w:rPr>
              <w:t>8150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13C7">
              <w:rPr>
                <w:rFonts w:ascii="Times New Roman" w:hAnsi="Times New Roman"/>
              </w:rPr>
              <w:t>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 w:rsidP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  <w:r w:rsidR="00E651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 w:rsidP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E651E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 w:rsidP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51E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651E1">
              <w:rPr>
                <w:rFonts w:ascii="Times New Roman" w:hAnsi="Times New Roman"/>
              </w:rPr>
              <w:t>0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F513C7" w:rsidRDefault="00E651E1" w:rsidP="00E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0684" w:rsidTr="00F513C7">
        <w:trPr>
          <w:gridAfter w:val="2"/>
          <w:wAfter w:w="61" w:type="dxa"/>
          <w:trHeight w:val="48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13C7" w:rsidRDefault="00F513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>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83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269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49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18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оля</w:t>
            </w:r>
            <w:proofErr w:type="spellEnd"/>
          </w:p>
        </w:tc>
      </w:tr>
      <w:tr w:rsidR="00F513C7" w:rsidTr="00F513C7">
        <w:trPr>
          <w:gridAfter w:val="29"/>
          <w:wAfter w:w="15221" w:type="dxa"/>
          <w:trHeight w:val="110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54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81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676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230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65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66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01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олоо</w:t>
            </w:r>
            <w:proofErr w:type="spellEnd"/>
          </w:p>
        </w:tc>
      </w:tr>
      <w:tr w:rsidR="00F513C7" w:rsidTr="00F513C7">
        <w:trPr>
          <w:gridAfter w:val="29"/>
          <w:wAfter w:w="15221" w:type="dxa"/>
          <w:trHeight w:val="132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132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96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513C7" w:rsidTr="00F513C7">
        <w:trPr>
          <w:gridAfter w:val="29"/>
          <w:wAfter w:w="15221" w:type="dxa"/>
          <w:trHeight w:val="96"/>
        </w:trPr>
        <w:tc>
          <w:tcPr>
            <w:tcW w:w="29" w:type="dxa"/>
            <w:vAlign w:val="bottom"/>
          </w:tcPr>
          <w:p w:rsidR="00F513C7" w:rsidRDefault="00F5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  <w:sectPr w:rsidR="00F513C7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40" w:right="4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Приводимые капиталовложения являются предварительными.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перспективном балансе электроснабжения Муниципального образования отсутствуют.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перспективном балансе газоснабжения муниципального образования отсутствуют.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13C7" w:rsidRDefault="00F513C7" w:rsidP="00F513C7">
      <w:pPr>
        <w:pStyle w:val="af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 3. Финансовое обеспечение Программы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статье 10 Федерального закона от 30.12.2004 г. № 210-ФЗ «Об основах регулирования тарифов организаций коммунального комплекса» 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, а также за счет платы на подключение к сетям инженерно-технического обеспечения.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513C7" w:rsidRDefault="00F513C7" w:rsidP="00F513C7">
      <w:pPr>
        <w:pStyle w:val="af6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3.1. Расчет объемов финансирования Программы</w:t>
      </w:r>
    </w:p>
    <w:p w:rsidR="00F513C7" w:rsidRDefault="00F513C7" w:rsidP="00F513C7">
      <w:pPr>
        <w:pStyle w:val="af6"/>
        <w:ind w:firstLine="708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объемов финансирования производится по каждому из мероприятий программы. Для этой цели отдельно по видам основных работ составляется сметная документация.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мероприятий распределяются по источникам финансирования с учетом возможностей бюджетных составляющих при условии сохранения доступности для потребителей (в первую очередь для населения) оплаты части коммунальных ресурсов, относимых на надбавку к тарифам ОКК. Программа  предусматривает участие средств местного бюджета при финансировании мероприятий по водоснабжению. </w:t>
      </w:r>
    </w:p>
    <w:p w:rsidR="00F513C7" w:rsidRDefault="00F513C7" w:rsidP="00F513C7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2"/>
        <w:tabs>
          <w:tab w:val="left" w:pos="708"/>
        </w:tabs>
        <w:ind w:left="584"/>
        <w:rPr>
          <w:sz w:val="32"/>
          <w:szCs w:val="32"/>
        </w:rPr>
      </w:pPr>
      <w:r>
        <w:rPr>
          <w:sz w:val="28"/>
          <w:szCs w:val="28"/>
        </w:rPr>
        <w:t xml:space="preserve">Структуру финансирования мероприятия Программы условно можно разделить на 2 части: мероприятия, предусматривающие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бюджетных и внебюджетных источников, и мероприятия, финансируемые только за счет внебюджетных источников</w:t>
      </w:r>
    </w:p>
    <w:p w:rsidR="00F513C7" w:rsidRDefault="00F513C7" w:rsidP="00F513C7">
      <w:pPr>
        <w:pStyle w:val="2"/>
        <w:tabs>
          <w:tab w:val="left" w:pos="708"/>
        </w:tabs>
        <w:ind w:left="584"/>
        <w:jc w:val="center"/>
        <w:rPr>
          <w:sz w:val="32"/>
          <w:szCs w:val="32"/>
        </w:rPr>
      </w:pPr>
    </w:p>
    <w:p w:rsidR="00F513C7" w:rsidRDefault="00F513C7" w:rsidP="00F513C7">
      <w:pPr>
        <w:pStyle w:val="2"/>
        <w:tabs>
          <w:tab w:val="left" w:pos="708"/>
        </w:tabs>
        <w:ind w:left="5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3.2. Расчет </w:t>
      </w:r>
      <w:r>
        <w:rPr>
          <w:rFonts w:eastAsia="Calibri"/>
          <w:b/>
          <w:sz w:val="32"/>
          <w:szCs w:val="32"/>
        </w:rPr>
        <w:t>эффективности внедрения мероприятий</w:t>
      </w:r>
      <w:r>
        <w:rPr>
          <w:b/>
          <w:sz w:val="32"/>
          <w:szCs w:val="32"/>
        </w:rPr>
        <w:t xml:space="preserve"> Программы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проекта рассматривается как результативность проекта, отражающая его соответствия целям и интересам участников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Бюджетная эффективность</w:t>
      </w:r>
      <w:r>
        <w:rPr>
          <w:rFonts w:ascii="Times New Roman" w:hAnsi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связанные с реализацией программы, прежде всего, формируются за счет налоговых поступлений.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добавленную стоимость; 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социальный налог;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налог;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продажу и другие налоги, базой для начисления которых является выручка от реализации произведенной продукции;</w:t>
      </w:r>
    </w:p>
    <w:p w:rsidR="00F513C7" w:rsidRDefault="00F513C7" w:rsidP="00E651E1">
      <w:pPr>
        <w:pStyle w:val="af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сырье и природные ресурсы, включая отчисления на воспроизводство материально-сырьевой базы и иные платежи, уплачиваемые при добыче и переработке сырья.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b/>
          <w:sz w:val="28"/>
          <w:szCs w:val="28"/>
        </w:rPr>
        <w:t>социальной эффективностью</w:t>
      </w:r>
      <w:r>
        <w:rPr>
          <w:rFonts w:ascii="Times New Roman" w:hAnsi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занятости населения;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и увеличение продолжительности жизни;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образовательного уровня населения;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культурного уровня населения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социальной защиты отдельных категорий граждан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 w:rsidR="00F513C7" w:rsidRDefault="00F513C7" w:rsidP="00E651E1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экологической обстановки.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Экономическая эффективность</w:t>
      </w:r>
      <w:r>
        <w:rPr>
          <w:rFonts w:ascii="Times New Roman" w:hAnsi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Денежный поток проекта это денежные поступления и расходы на реализацию проекта, определяемые по годам расчетного периода.</w:t>
      </w:r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Денежный поток оценивается по всем доходам от реализации проекта и расходам (включая инвестиционные). </w:t>
      </w:r>
      <w:proofErr w:type="gramEnd"/>
    </w:p>
    <w:p w:rsidR="00F513C7" w:rsidRDefault="00F513C7" w:rsidP="00F513C7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  <w:proofErr w:type="gramEnd"/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F513C7" w:rsidRDefault="00F513C7" w:rsidP="00F513C7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i/>
          <w:sz w:val="36"/>
          <w:szCs w:val="36"/>
        </w:rPr>
        <w:t>Контроль за</w:t>
      </w:r>
      <w:proofErr w:type="gramEnd"/>
      <w:r>
        <w:rPr>
          <w:rFonts w:ascii="Times New Roman" w:hAnsi="Times New Roman"/>
          <w:b/>
          <w:bCs/>
          <w:i/>
          <w:sz w:val="36"/>
          <w:szCs w:val="36"/>
        </w:rPr>
        <w:t xml:space="preserve"> исполнением мероприятий программы.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Программой и контроль хода ее выполнения определяется в соответствии с требованиями действующего федерального, регионального и муниципального законодательства.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разграничения полномочий и ответственности всех исполнителей Программы.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Программы является администрация Муниципального образования. Ответственным за реализацию Программы является администрация Муниципального образования.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администрацией Муниципального образования, а также предприятиями коммунального комплекса Муниципального образования.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администрации Муниципального образования по реализации Программы являются: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использования финансовых средств;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вынесение заключения по вопросу возможности выделения бюджетных средств на реализацию Программы.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уточнение перечня программных мероприятий и финансовых потребностей на их реализацию;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организационное, техническое и методическое содействие организациям, участвующим в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взаимодействия органов местного самоуправления Муниципального образования и организаций, участвующих в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взаимодействия органов местного самоуправления Муниципального образования, Управления тарифного регулирования Воронежской области по заключению на инвестиционные программы организаций коммунального комплекса, участвующих в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и анализ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о ходе выполнения производственных и инвестиционных программ организаций в рамках проведения мониторинга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оценки эффективности Программы и расчет целевых показателей и индикаторов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соглашения с организациями коммунального комплекса на реализацию инвестиционных программ;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заключения об эффективности реализации Программы;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докладов о ходе реализации Программы главе администрации Муниципального образования и предложений о ее корректировке.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мероприятий в сфере информационного освещения и сопровождения реализации Программы.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организациями, участвующими в реализации Программы.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Глава Муниципального образования.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Муниципального образования, а также долгосрочными финансово-хозяйственными планами организаций коммунального комплекса, осуществляющих свою деятельность </w:t>
      </w:r>
      <w:r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образования.</w:t>
      </w: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Программу (корректировка Программы)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образования, которым утверждена Программа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Программы осуществляется в случаях: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отклонений  в  выполнении  мероприятий  Программы  в  </w:t>
      </w:r>
      <w:proofErr w:type="gramStart"/>
      <w:r>
        <w:rPr>
          <w:rFonts w:ascii="Times New Roman" w:hAnsi="Times New Roman"/>
          <w:sz w:val="28"/>
          <w:szCs w:val="28"/>
        </w:rPr>
        <w:t>предшествующий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F51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приведения объемов финансирования Программы в соответствие с фактическим уровнем цен и фактическими условиями бюджетного финансирования;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снижения результативности и эффективности использования средств бюджетной системы;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</w:rPr>
      </w:pPr>
    </w:p>
    <w:p w:rsidR="00F513C7" w:rsidRDefault="00F513C7" w:rsidP="00E651E1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уточнения  мероприятий,  сроков  реализации,  объемов  финансирования </w:t>
      </w:r>
    </w:p>
    <w:p w:rsidR="00F513C7" w:rsidRDefault="00F513C7" w:rsidP="00F513C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9D01A4" w:rsidRPr="009D01A4" w:rsidRDefault="00F513C7" w:rsidP="00F51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мероприятий.</w:t>
      </w:r>
    </w:p>
    <w:p w:rsidR="00290A61" w:rsidRDefault="00290A61" w:rsidP="00290A61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  <w:sectPr w:rsidR="00290A61">
          <w:pgSz w:w="11906" w:h="16838"/>
          <w:pgMar w:top="1134" w:right="851" w:bottom="1134" w:left="1701" w:header="708" w:footer="708" w:gutter="0"/>
          <w:cols w:space="720"/>
        </w:sectPr>
      </w:pPr>
    </w:p>
    <w:p w:rsidR="00290A61" w:rsidRDefault="00290A61" w:rsidP="00290A61">
      <w:pPr>
        <w:pStyle w:val="af6"/>
        <w:jc w:val="both"/>
        <w:rPr>
          <w:szCs w:val="40"/>
        </w:rPr>
      </w:pPr>
    </w:p>
    <w:p w:rsidR="009D01A4" w:rsidRPr="009D01A4" w:rsidRDefault="009D01A4" w:rsidP="009D01A4">
      <w:pPr>
        <w:rPr>
          <w:rFonts w:ascii="Times New Roman" w:hAnsi="Times New Roman" w:cs="Times New Roman"/>
          <w:sz w:val="28"/>
          <w:szCs w:val="28"/>
        </w:rPr>
      </w:pPr>
    </w:p>
    <w:p w:rsidR="00BB6EF1" w:rsidRPr="009D01A4" w:rsidRDefault="00BB6EF1">
      <w:pPr>
        <w:rPr>
          <w:rFonts w:ascii="Times New Roman" w:hAnsi="Times New Roman" w:cs="Times New Roman"/>
          <w:sz w:val="28"/>
          <w:szCs w:val="28"/>
        </w:rPr>
      </w:pPr>
    </w:p>
    <w:sectPr w:rsidR="00BB6EF1" w:rsidRPr="009D01A4" w:rsidSect="002A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443"/>
    <w:multiLevelType w:val="hybridMultilevel"/>
    <w:tmpl w:val="000066BB"/>
    <w:lvl w:ilvl="0" w:tplc="0000428B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B35EE"/>
    <w:multiLevelType w:val="hybridMultilevel"/>
    <w:tmpl w:val="6314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6F44"/>
    <w:multiLevelType w:val="multilevel"/>
    <w:tmpl w:val="49EAF4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3839"/>
        </w:tabs>
        <w:ind w:left="3839" w:hanging="720"/>
      </w:p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</w:lvl>
  </w:abstractNum>
  <w:abstractNum w:abstractNumId="12">
    <w:nsid w:val="451029D7"/>
    <w:multiLevelType w:val="hybridMultilevel"/>
    <w:tmpl w:val="A9E09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5335"/>
    <w:multiLevelType w:val="hybridMultilevel"/>
    <w:tmpl w:val="DC6CCFD6"/>
    <w:lvl w:ilvl="0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315D7"/>
    <w:multiLevelType w:val="hybridMultilevel"/>
    <w:tmpl w:val="C52CA4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5">
    <w:nsid w:val="5406349B"/>
    <w:multiLevelType w:val="hybridMultilevel"/>
    <w:tmpl w:val="A77A7A5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47066"/>
    <w:multiLevelType w:val="hybridMultilevel"/>
    <w:tmpl w:val="8E1E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A0F2C"/>
    <w:multiLevelType w:val="multilevel"/>
    <w:tmpl w:val="3E7A1A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2799" w:hanging="1080"/>
      </w:pPr>
    </w:lvl>
    <w:lvl w:ilvl="4">
      <w:start w:val="1"/>
      <w:numFmt w:val="decimal"/>
      <w:lvlText w:val="%1.%2.%3.%4.%5."/>
      <w:lvlJc w:val="left"/>
      <w:pPr>
        <w:ind w:left="3372" w:hanging="1080"/>
      </w:pPr>
    </w:lvl>
    <w:lvl w:ilvl="5">
      <w:start w:val="1"/>
      <w:numFmt w:val="decimal"/>
      <w:lvlText w:val="%1.%2.%3.%4.%5.%6."/>
      <w:lvlJc w:val="left"/>
      <w:pPr>
        <w:ind w:left="4305" w:hanging="1440"/>
      </w:pPr>
    </w:lvl>
    <w:lvl w:ilvl="6">
      <w:start w:val="1"/>
      <w:numFmt w:val="decimal"/>
      <w:lvlText w:val="%1.%2.%3.%4.%5.%6.%7."/>
      <w:lvlJc w:val="left"/>
      <w:pPr>
        <w:ind w:left="5238" w:hanging="1800"/>
      </w:pPr>
    </w:lvl>
    <w:lvl w:ilvl="7">
      <w:start w:val="1"/>
      <w:numFmt w:val="decimal"/>
      <w:lvlText w:val="%1.%2.%3.%4.%5.%6.%7.%8."/>
      <w:lvlJc w:val="left"/>
      <w:pPr>
        <w:ind w:left="5811" w:hanging="1800"/>
      </w:pPr>
    </w:lvl>
    <w:lvl w:ilvl="8">
      <w:start w:val="1"/>
      <w:numFmt w:val="decimal"/>
      <w:lvlText w:val="%1.%2.%3.%4.%5.%6.%7.%8.%9."/>
      <w:lvlJc w:val="left"/>
      <w:pPr>
        <w:ind w:left="6744" w:hanging="2160"/>
      </w:pPr>
    </w:lvl>
  </w:abstractNum>
  <w:abstractNum w:abstractNumId="18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642B8"/>
    <w:multiLevelType w:val="hybridMultilevel"/>
    <w:tmpl w:val="975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A4"/>
    <w:rsid w:val="00290A61"/>
    <w:rsid w:val="002967D9"/>
    <w:rsid w:val="002A031D"/>
    <w:rsid w:val="003B073E"/>
    <w:rsid w:val="00400912"/>
    <w:rsid w:val="004F2CE3"/>
    <w:rsid w:val="00540684"/>
    <w:rsid w:val="00547FEB"/>
    <w:rsid w:val="005A7759"/>
    <w:rsid w:val="009016E6"/>
    <w:rsid w:val="00946FA8"/>
    <w:rsid w:val="009D01A4"/>
    <w:rsid w:val="00B01FD4"/>
    <w:rsid w:val="00BB6EF1"/>
    <w:rsid w:val="00E651E1"/>
    <w:rsid w:val="00E908DE"/>
    <w:rsid w:val="00F5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A031D"/>
  </w:style>
  <w:style w:type="paragraph" w:styleId="1">
    <w:name w:val="heading 1"/>
    <w:basedOn w:val="a"/>
    <w:next w:val="a"/>
    <w:link w:val="10"/>
    <w:qFormat/>
    <w:rsid w:val="00290A6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90A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90A6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290A61"/>
    <w:pPr>
      <w:keepNext/>
      <w:tabs>
        <w:tab w:val="num" w:pos="34"/>
      </w:tabs>
      <w:spacing w:before="200" w:line="280" w:lineRule="atLeast"/>
      <w:ind w:left="34" w:hanging="34"/>
      <w:outlineLvl w:val="3"/>
    </w:pPr>
    <w:rPr>
      <w:rFonts w:ascii="Arial" w:eastAsia="MS Mincho" w:hAnsi="Arial" w:cs="Arial"/>
      <w:bCs/>
    </w:rPr>
  </w:style>
  <w:style w:type="paragraph" w:styleId="5">
    <w:name w:val="heading 5"/>
    <w:basedOn w:val="a"/>
    <w:next w:val="a0"/>
    <w:link w:val="50"/>
    <w:semiHidden/>
    <w:unhideWhenUsed/>
    <w:qFormat/>
    <w:rsid w:val="00290A61"/>
    <w:pPr>
      <w:keepNext/>
      <w:tabs>
        <w:tab w:val="num" w:pos="584"/>
      </w:tabs>
      <w:spacing w:before="200" w:line="260" w:lineRule="atLeast"/>
      <w:ind w:hanging="227"/>
      <w:outlineLvl w:val="4"/>
    </w:pPr>
    <w:rPr>
      <w:rFonts w:ascii="Arial" w:eastAsia="MS Mincho" w:hAnsi="Arial" w:cs="Arial"/>
      <w:b/>
      <w:bCs/>
      <w:iCs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290A61"/>
    <w:pPr>
      <w:tabs>
        <w:tab w:val="num" w:pos="1152"/>
      </w:tabs>
      <w:spacing w:before="240" w:after="60" w:line="260" w:lineRule="atLeast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290A61"/>
    <w:pPr>
      <w:tabs>
        <w:tab w:val="num" w:pos="1440"/>
      </w:tabs>
      <w:spacing w:before="240" w:after="60" w:line="26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3"/>
    </w:rPr>
  </w:style>
  <w:style w:type="paragraph" w:styleId="9">
    <w:name w:val="heading 9"/>
    <w:basedOn w:val="a"/>
    <w:next w:val="a"/>
    <w:link w:val="90"/>
    <w:semiHidden/>
    <w:unhideWhenUsed/>
    <w:qFormat/>
    <w:rsid w:val="00290A61"/>
    <w:pPr>
      <w:tabs>
        <w:tab w:val="num" w:pos="1584"/>
      </w:tabs>
      <w:spacing w:before="240" w:after="60" w:line="260" w:lineRule="atLeast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0A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290A61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1"/>
    <w:link w:val="3"/>
    <w:semiHidden/>
    <w:rsid w:val="00290A6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290A61"/>
    <w:rPr>
      <w:rFonts w:ascii="Arial" w:eastAsia="MS Mincho" w:hAnsi="Arial" w:cs="Arial"/>
      <w:bCs/>
    </w:rPr>
  </w:style>
  <w:style w:type="character" w:customStyle="1" w:styleId="50">
    <w:name w:val="Заголовок 5 Знак"/>
    <w:basedOn w:val="a1"/>
    <w:link w:val="5"/>
    <w:semiHidden/>
    <w:rsid w:val="00290A61"/>
    <w:rPr>
      <w:rFonts w:ascii="Arial" w:eastAsia="MS Mincho" w:hAnsi="Arial" w:cs="Arial"/>
      <w:b/>
      <w:bCs/>
      <w:iCs/>
      <w:sz w:val="20"/>
    </w:rPr>
  </w:style>
  <w:style w:type="character" w:customStyle="1" w:styleId="60">
    <w:name w:val="Заголовок 6 Знак"/>
    <w:basedOn w:val="a1"/>
    <w:link w:val="6"/>
    <w:semiHidden/>
    <w:rsid w:val="00290A61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semiHidden/>
    <w:rsid w:val="00290A61"/>
    <w:rPr>
      <w:rFonts w:ascii="Times New Roman" w:eastAsia="Times New Roman" w:hAnsi="Times New Roman" w:cs="Times New Roman"/>
      <w:i/>
      <w:iCs/>
      <w:sz w:val="23"/>
    </w:rPr>
  </w:style>
  <w:style w:type="character" w:customStyle="1" w:styleId="90">
    <w:name w:val="Заголовок 9 Знак"/>
    <w:basedOn w:val="a1"/>
    <w:link w:val="9"/>
    <w:semiHidden/>
    <w:rsid w:val="00290A61"/>
    <w:rPr>
      <w:rFonts w:ascii="Arial" w:eastAsia="Times New Roman" w:hAnsi="Arial" w:cs="Arial"/>
    </w:rPr>
  </w:style>
  <w:style w:type="character" w:styleId="a4">
    <w:name w:val="Hyperlink"/>
    <w:semiHidden/>
    <w:unhideWhenUsed/>
    <w:rsid w:val="00290A61"/>
    <w:rPr>
      <w:color w:val="1A3DC1"/>
      <w:u w:val="single"/>
      <w:effect w:val="none"/>
    </w:rPr>
  </w:style>
  <w:style w:type="character" w:styleId="a5">
    <w:name w:val="FollowedHyperlink"/>
    <w:basedOn w:val="a1"/>
    <w:uiPriority w:val="99"/>
    <w:semiHidden/>
    <w:unhideWhenUsed/>
    <w:rsid w:val="00290A61"/>
    <w:rPr>
      <w:color w:val="800080" w:themeColor="followedHyperlink"/>
      <w:u w:val="single"/>
    </w:rPr>
  </w:style>
  <w:style w:type="paragraph" w:styleId="a0">
    <w:name w:val="Body Text"/>
    <w:basedOn w:val="a"/>
    <w:link w:val="a6"/>
    <w:semiHidden/>
    <w:unhideWhenUsed/>
    <w:rsid w:val="00290A61"/>
    <w:pPr>
      <w:widowControl w:val="0"/>
      <w:spacing w:line="280" w:lineRule="atLeast"/>
      <w:jc w:val="both"/>
    </w:pPr>
    <w:rPr>
      <w:rFonts w:ascii="Arial" w:eastAsia="Times New Roman" w:hAnsi="Arial" w:cs="Arial"/>
      <w:szCs w:val="24"/>
    </w:rPr>
  </w:style>
  <w:style w:type="character" w:customStyle="1" w:styleId="a6">
    <w:name w:val="Основной текст Знак"/>
    <w:basedOn w:val="a1"/>
    <w:link w:val="a0"/>
    <w:semiHidden/>
    <w:rsid w:val="00290A61"/>
    <w:rPr>
      <w:rFonts w:ascii="Arial" w:eastAsia="Times New Roman" w:hAnsi="Arial" w:cs="Arial"/>
      <w:szCs w:val="24"/>
    </w:rPr>
  </w:style>
  <w:style w:type="paragraph" w:styleId="a7">
    <w:name w:val="Normal (Web)"/>
    <w:basedOn w:val="a"/>
    <w:unhideWhenUsed/>
    <w:rsid w:val="00290A61"/>
    <w:pPr>
      <w:spacing w:before="100" w:beforeAutospacing="1" w:after="100" w:afterAutospacing="1"/>
    </w:pPr>
    <w:rPr>
      <w:rFonts w:ascii="Arial" w:eastAsia="Times New Roman" w:hAnsi="Arial" w:cs="Arial"/>
      <w:color w:val="404040"/>
      <w:sz w:val="14"/>
      <w:szCs w:val="14"/>
    </w:rPr>
  </w:style>
  <w:style w:type="paragraph" w:styleId="11">
    <w:name w:val="toc 1"/>
    <w:basedOn w:val="a"/>
    <w:next w:val="a"/>
    <w:autoRedefine/>
    <w:semiHidden/>
    <w:unhideWhenUsed/>
    <w:rsid w:val="00290A61"/>
    <w:pPr>
      <w:spacing w:before="120" w:after="120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unhideWhenUsed/>
    <w:rsid w:val="00290A61"/>
    <w:pPr>
      <w:tabs>
        <w:tab w:val="right" w:leader="underscore" w:pos="9911"/>
      </w:tabs>
      <w:spacing w:after="0"/>
      <w:ind w:left="220"/>
    </w:pPr>
    <w:rPr>
      <w:rFonts w:ascii="Times New Roman" w:eastAsia="Times New Roman" w:hAnsi="Times New Roman" w:cs="Times New Roman"/>
      <w:b/>
      <w:smallCaps/>
      <w:noProof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290A61"/>
    <w:pPr>
      <w:spacing w:after="0"/>
      <w:ind w:left="440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290A61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a8">
    <w:name w:val="footnote text"/>
    <w:basedOn w:val="a0"/>
    <w:link w:val="12"/>
    <w:semiHidden/>
    <w:unhideWhenUsed/>
    <w:rsid w:val="00290A61"/>
    <w:pPr>
      <w:spacing w:after="12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semiHidden/>
    <w:rsid w:val="00290A61"/>
    <w:rPr>
      <w:sz w:val="20"/>
      <w:szCs w:val="20"/>
    </w:rPr>
  </w:style>
  <w:style w:type="paragraph" w:styleId="aa">
    <w:name w:val="header"/>
    <w:basedOn w:val="a"/>
    <w:link w:val="13"/>
    <w:semiHidden/>
    <w:unhideWhenUsed/>
    <w:rsid w:val="00290A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semiHidden/>
    <w:rsid w:val="00290A61"/>
  </w:style>
  <w:style w:type="paragraph" w:styleId="ac">
    <w:name w:val="footer"/>
    <w:basedOn w:val="a"/>
    <w:link w:val="14"/>
    <w:semiHidden/>
    <w:unhideWhenUsed/>
    <w:rsid w:val="00290A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semiHidden/>
    <w:rsid w:val="00290A61"/>
  </w:style>
  <w:style w:type="paragraph" w:styleId="ae">
    <w:name w:val="caption"/>
    <w:basedOn w:val="a"/>
    <w:next w:val="a"/>
    <w:semiHidden/>
    <w:unhideWhenUsed/>
    <w:qFormat/>
    <w:rsid w:val="00290A61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endnote text"/>
    <w:basedOn w:val="a"/>
    <w:link w:val="15"/>
    <w:semiHidden/>
    <w:unhideWhenUsed/>
    <w:rsid w:val="00290A6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290A61"/>
    <w:rPr>
      <w:sz w:val="20"/>
      <w:szCs w:val="20"/>
    </w:rPr>
  </w:style>
  <w:style w:type="paragraph" w:styleId="af1">
    <w:name w:val="Title"/>
    <w:basedOn w:val="a"/>
    <w:link w:val="16"/>
    <w:qFormat/>
    <w:rsid w:val="00290A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1"/>
    <w:link w:val="af1"/>
    <w:rsid w:val="00290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alloon Text"/>
    <w:basedOn w:val="a"/>
    <w:link w:val="af4"/>
    <w:semiHidden/>
    <w:unhideWhenUsed/>
    <w:rsid w:val="00290A61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290A61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90A61"/>
    <w:rPr>
      <w:rFonts w:ascii="Calibri" w:hAnsi="Calibri"/>
    </w:rPr>
  </w:style>
  <w:style w:type="paragraph" w:styleId="af6">
    <w:name w:val="No Spacing"/>
    <w:link w:val="af5"/>
    <w:qFormat/>
    <w:rsid w:val="00290A61"/>
    <w:pPr>
      <w:spacing w:after="0" w:line="240" w:lineRule="auto"/>
    </w:pPr>
    <w:rPr>
      <w:rFonts w:ascii="Calibri" w:hAnsi="Calibri"/>
    </w:rPr>
  </w:style>
  <w:style w:type="paragraph" w:styleId="af7">
    <w:name w:val="List Paragraph"/>
    <w:basedOn w:val="a"/>
    <w:qFormat/>
    <w:rsid w:val="00290A61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TOC Heading"/>
    <w:basedOn w:val="1"/>
    <w:next w:val="a"/>
    <w:semiHidden/>
    <w:unhideWhenUsed/>
    <w:qFormat/>
    <w:rsid w:val="00290A6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next w:val="a"/>
    <w:rsid w:val="00290A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90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290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290A61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footnote reference"/>
    <w:semiHidden/>
    <w:unhideWhenUsed/>
    <w:rsid w:val="00290A61"/>
    <w:rPr>
      <w:vertAlign w:val="superscript"/>
    </w:rPr>
  </w:style>
  <w:style w:type="character" w:customStyle="1" w:styleId="12">
    <w:name w:val="Текст сноски Знак1"/>
    <w:basedOn w:val="a1"/>
    <w:link w:val="a8"/>
    <w:semiHidden/>
    <w:locked/>
    <w:rsid w:val="00290A61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3">
    <w:name w:val="Верхний колонтитул Знак1"/>
    <w:basedOn w:val="a1"/>
    <w:link w:val="aa"/>
    <w:semiHidden/>
    <w:locked/>
    <w:rsid w:val="00290A61"/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1"/>
    <w:link w:val="ac"/>
    <w:semiHidden/>
    <w:locked/>
    <w:rsid w:val="00290A61"/>
    <w:rPr>
      <w:rFonts w:ascii="Calibri" w:eastAsia="Times New Roman" w:hAnsi="Calibri" w:cs="Times New Roman"/>
    </w:rPr>
  </w:style>
  <w:style w:type="character" w:customStyle="1" w:styleId="15">
    <w:name w:val="Текст концевой сноски Знак1"/>
    <w:basedOn w:val="a1"/>
    <w:link w:val="af"/>
    <w:semiHidden/>
    <w:locked/>
    <w:rsid w:val="00290A61"/>
    <w:rPr>
      <w:rFonts w:ascii="Calibri" w:eastAsia="Times New Roman" w:hAnsi="Calibri" w:cs="Times New Roman"/>
      <w:sz w:val="20"/>
      <w:szCs w:val="20"/>
    </w:rPr>
  </w:style>
  <w:style w:type="character" w:customStyle="1" w:styleId="16">
    <w:name w:val="Название Знак1"/>
    <w:basedOn w:val="a1"/>
    <w:link w:val="af1"/>
    <w:locked/>
    <w:rsid w:val="00290A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290A61"/>
    <w:rPr>
      <w:rFonts w:ascii="Times New Roman" w:hAnsi="Times New Roman" w:cs="Times New Roman" w:hint="default"/>
    </w:rPr>
  </w:style>
  <w:style w:type="character" w:customStyle="1" w:styleId="s2">
    <w:name w:val="s2"/>
    <w:rsid w:val="00290A61"/>
    <w:rPr>
      <w:rFonts w:ascii="Times New Roman" w:hAnsi="Times New Roman" w:cs="Times New Roman" w:hint="default"/>
    </w:rPr>
  </w:style>
  <w:style w:type="character" w:customStyle="1" w:styleId="s3">
    <w:name w:val="s3"/>
    <w:rsid w:val="00290A61"/>
    <w:rPr>
      <w:rFonts w:ascii="Times New Roman" w:hAnsi="Times New Roman" w:cs="Times New Roman" w:hint="default"/>
    </w:rPr>
  </w:style>
  <w:style w:type="table" w:styleId="afa">
    <w:name w:val="Table Grid"/>
    <w:basedOn w:val="a2"/>
    <w:rsid w:val="0029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F513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8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6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39" Type="http://schemas.openxmlformats.org/officeDocument/2006/relationships/image" Target="media/image4.wmf"/><Relationship Id="rId21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34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42" Type="http://schemas.openxmlformats.org/officeDocument/2006/relationships/oleObject" Target="embeddings/oleObject2.bin"/><Relationship Id="rId47" Type="http://schemas.openxmlformats.org/officeDocument/2006/relationships/image" Target="media/image8.wmf"/><Relationship Id="rId50" Type="http://schemas.openxmlformats.org/officeDocument/2006/relationships/oleObject" Target="embeddings/oleObject6.bin"/><Relationship Id="rId55" Type="http://schemas.openxmlformats.org/officeDocument/2006/relationships/image" Target="media/image12.wmf"/><Relationship Id="rId7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2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7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5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33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38" Type="http://schemas.openxmlformats.org/officeDocument/2006/relationships/image" Target="media/image3.png"/><Relationship Id="rId46" Type="http://schemas.openxmlformats.org/officeDocument/2006/relationships/oleObject" Target="embeddings/oleObject4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0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9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41" Type="http://schemas.openxmlformats.org/officeDocument/2006/relationships/image" Target="media/image5.wmf"/><Relationship Id="rId54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1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4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32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37" Type="http://schemas.openxmlformats.org/officeDocument/2006/relationships/image" Target="media/image2.png"/><Relationship Id="rId40" Type="http://schemas.openxmlformats.org/officeDocument/2006/relationships/oleObject" Target="embeddings/oleObject1.bin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oleObject" Target="embeddings/oleObject10.bin"/><Relationship Id="rId5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5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3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8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36" Type="http://schemas.openxmlformats.org/officeDocument/2006/relationships/image" Target="media/image1.png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10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9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31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44" Type="http://schemas.openxmlformats.org/officeDocument/2006/relationships/oleObject" Target="embeddings/oleObject3.bin"/><Relationship Id="rId52" Type="http://schemas.openxmlformats.org/officeDocument/2006/relationships/oleObject" Target="embeddings/oleObject7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14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2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27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30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35" Type="http://schemas.openxmlformats.org/officeDocument/2006/relationships/hyperlink" Target="file:///C:\Documents%20and%20Settings\&#1040;&#1076;&#1084;&#1080;&#1085;&#1080;&#1089;&#1090;&#1088;&#1072;&#1090;&#1086;&#1088;\Local%20Settings\Temp\&#1058;&#1077;&#1082;&#1089;&#1090;%20&#1055;&#1050;&#1056;&#1082;&#1086;&#1088;..doc" TargetMode="External"/><Relationship Id="rId43" Type="http://schemas.openxmlformats.org/officeDocument/2006/relationships/image" Target="media/image6.wmf"/><Relationship Id="rId48" Type="http://schemas.openxmlformats.org/officeDocument/2006/relationships/oleObject" Target="embeddings/oleObject5.bin"/><Relationship Id="rId56" Type="http://schemas.openxmlformats.org/officeDocument/2006/relationships/oleObject" Target="embeddings/oleObject9.bin"/><Relationship Id="rId8" Type="http://schemas.openxmlformats.org/officeDocument/2006/relationships/hyperlink" Target="file:///C:\Documents%20and%20Settings\user\&#1056;&#1072;&#1073;&#1086;&#1095;&#1080;&#1081;%20&#1089;&#1090;&#1086;&#1083;\&#1054;&#1090;&#1095;&#1077;&#1090;&#1099;%20&#1102;&#1088;&#1080;&#1089;&#1090;&#1091;%20&#1079;&#1072;%202016%20&#1075;&#1086;&#1076;\&#1054;&#1090;&#1095;&#1077;&#1090;%20&#1079;&#1072;%20&#1085;&#1086;&#1103;&#1073;&#1088;&#1100;%202016\&#1055;&#1088;&#1086;&#1075;&#1088;&#1072;&#1084;&#1084;&#1072;%20&#1082;&#1086;&#1084;&#1087;&#1083;&#1077;&#1082;&#1089;&#1085;&#1086;&#1075;&#1086;%20&#1088;&#1072;&#1079;&#1074;&#1080;&#1090;&#1080;&#1103;2" TargetMode="External"/><Relationship Id="rId51" Type="http://schemas.openxmlformats.org/officeDocument/2006/relationships/image" Target="media/image1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2016-11-28T08:31:00Z</cp:lastPrinted>
  <dcterms:created xsi:type="dcterms:W3CDTF">2016-11-28T07:03:00Z</dcterms:created>
  <dcterms:modified xsi:type="dcterms:W3CDTF">2017-07-20T13:19:00Z</dcterms:modified>
</cp:coreProperties>
</file>