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56" w:rsidRDefault="006C0056" w:rsidP="006C0056">
      <w:r>
        <w:t>РОССИЙСКАЯ ФЕДЕРАЦИЯ</w:t>
      </w:r>
    </w:p>
    <w:p w:rsidR="006C0056" w:rsidRDefault="006C0056" w:rsidP="006C0056">
      <w:r>
        <w:t>АДМИНИСТРАЦИЯ СЕЛЬСКОГО ПОСЕЛЕНИЯ</w:t>
      </w:r>
    </w:p>
    <w:p w:rsidR="006C0056" w:rsidRDefault="006C0056" w:rsidP="006C0056">
      <w:r>
        <w:t>ЗАВОЛЖЬЕ МУНИЦИПАЛЬНОГО РАЙОНА</w:t>
      </w:r>
    </w:p>
    <w:p w:rsidR="006C0056" w:rsidRDefault="006C0056" w:rsidP="006C0056">
      <w:proofErr w:type="gramStart"/>
      <w:r>
        <w:t>ПРИВОЛЖСКИЙ</w:t>
      </w:r>
      <w:proofErr w:type="gramEnd"/>
      <w:r>
        <w:t xml:space="preserve"> САМАРСКОЙ ОБЛАСТИ</w:t>
      </w:r>
    </w:p>
    <w:p w:rsidR="006C0056" w:rsidRDefault="006C0056" w:rsidP="006C0056">
      <w:r>
        <w:t>РАСПОРЯЖЕНИЕ</w:t>
      </w:r>
    </w:p>
    <w:p w:rsidR="006C0056" w:rsidRPr="00D32D51" w:rsidRDefault="006C0056" w:rsidP="006C0056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1</w:t>
      </w:r>
      <w:r w:rsidR="00D32D51">
        <w:rPr>
          <w:u w:val="single"/>
        </w:rPr>
        <w:t>4</w:t>
      </w:r>
      <w:r>
        <w:rPr>
          <w:u w:val="single"/>
        </w:rPr>
        <w:t xml:space="preserve"> декабря  20</w:t>
      </w:r>
      <w:r w:rsidR="00D32D51">
        <w:rPr>
          <w:u w:val="single"/>
        </w:rPr>
        <w:t>20</w:t>
      </w:r>
      <w:r>
        <w:rPr>
          <w:u w:val="single"/>
        </w:rPr>
        <w:t xml:space="preserve"> года </w:t>
      </w:r>
      <w:r>
        <w:t xml:space="preserve"> за № </w:t>
      </w:r>
      <w:r w:rsidR="00D32D51" w:rsidRPr="00D32D51">
        <w:rPr>
          <w:u w:val="single"/>
        </w:rPr>
        <w:t>12</w:t>
      </w:r>
    </w:p>
    <w:p w:rsidR="006C0056" w:rsidRDefault="006C0056" w:rsidP="006C0056">
      <w:r>
        <w:t>с</w:t>
      </w:r>
      <w:proofErr w:type="gramStart"/>
      <w:r>
        <w:t>.З</w:t>
      </w:r>
      <w:proofErr w:type="gramEnd"/>
      <w:r>
        <w:t>аволжье</w:t>
      </w:r>
    </w:p>
    <w:p w:rsidR="006C0056" w:rsidRDefault="006C0056" w:rsidP="006C005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6C0056" w:rsidRDefault="006C0056" w:rsidP="006C0056">
      <w:pPr>
        <w:jc w:val="both"/>
        <w:rPr>
          <w:b/>
        </w:rPr>
      </w:pPr>
    </w:p>
    <w:p w:rsidR="006C0056" w:rsidRDefault="006C0056" w:rsidP="006C0056">
      <w:pPr>
        <w:jc w:val="both"/>
        <w:rPr>
          <w:b/>
        </w:rPr>
      </w:pPr>
      <w:r>
        <w:rPr>
          <w:b/>
        </w:rPr>
        <w:t>«Об учетной политике Администрации</w:t>
      </w:r>
    </w:p>
    <w:p w:rsidR="006C0056" w:rsidRDefault="006C0056" w:rsidP="006C0056">
      <w:pPr>
        <w:jc w:val="both"/>
        <w:rPr>
          <w:b/>
        </w:rPr>
      </w:pPr>
      <w:r>
        <w:rPr>
          <w:b/>
        </w:rPr>
        <w:t xml:space="preserve"> сельского поселения Заволжье на 202</w:t>
      </w:r>
      <w:r w:rsidR="00D32D51">
        <w:rPr>
          <w:b/>
        </w:rPr>
        <w:t>1</w:t>
      </w:r>
      <w:r>
        <w:rPr>
          <w:b/>
        </w:rPr>
        <w:t xml:space="preserve"> год» </w:t>
      </w:r>
    </w:p>
    <w:p w:rsidR="006C0056" w:rsidRDefault="006C0056" w:rsidP="006C0056">
      <w:pPr>
        <w:jc w:val="both"/>
        <w:rPr>
          <w:b/>
        </w:rPr>
      </w:pPr>
    </w:p>
    <w:p w:rsidR="006C0056" w:rsidRDefault="006C0056" w:rsidP="006C0056">
      <w:pPr>
        <w:jc w:val="both"/>
        <w:rPr>
          <w:b/>
        </w:rPr>
      </w:pPr>
    </w:p>
    <w:p w:rsidR="006C0056" w:rsidRDefault="006C0056" w:rsidP="006C0056">
      <w:pPr>
        <w:jc w:val="both"/>
        <w:rPr>
          <w:b/>
        </w:rPr>
      </w:pPr>
    </w:p>
    <w:p w:rsidR="006C0056" w:rsidRDefault="006C0056" w:rsidP="00B42B34">
      <w:pPr>
        <w:ind w:left="-180" w:firstLine="540"/>
        <w:jc w:val="both"/>
      </w:pPr>
      <w:r>
        <w:t xml:space="preserve">В соответствии с Бюджетным кодексом Российской Федерации; Налоговым кодексом Российской Федерации; </w:t>
      </w:r>
      <w:proofErr w:type="gramStart"/>
      <w:r>
        <w:t xml:space="preserve">Федеральным законом 402-ФЗ от 06.12.2011г «О бухгалтерском учете», планом счетов бюджетного учета финансово-хозяйственной деятельности организации и Инструкциями по его применению, утвержденными приказом Министерства финансов Российской Федерации от 01.12.2010 №157н, а также </w:t>
      </w:r>
      <w:r w:rsidR="00D32D51">
        <w:t>приказом Министерства финансов Российской Федерации от 14.09.2020 №198н</w:t>
      </w:r>
      <w:r w:rsidR="001911D2">
        <w:t xml:space="preserve"> «О внесении изменений в приложение №1 и №2 к приказу </w:t>
      </w:r>
      <w:r>
        <w:t>Министерства Финансов РФ от 01.12.2010г № 157н «Об утверждении Единого</w:t>
      </w:r>
      <w:proofErr w:type="gramEnd"/>
      <w:r>
        <w:t xml:space="preserve"> </w:t>
      </w:r>
      <w:proofErr w:type="gramStart"/>
      <w:r>
        <w:t xml:space="preserve"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B42B34" w:rsidRPr="00B42B34">
        <w:rPr>
          <w:bCs/>
        </w:rPr>
        <w:t>Приказом</w:t>
      </w:r>
      <w:r w:rsidR="00B42B34">
        <w:t xml:space="preserve"> </w:t>
      </w:r>
      <w:r w:rsidR="00B42B34" w:rsidRPr="00B42B34">
        <w:rPr>
          <w:bCs/>
        </w:rPr>
        <w:t>Министерства</w:t>
      </w:r>
      <w:r w:rsidR="00B42B34" w:rsidRPr="00B42B34">
        <w:t xml:space="preserve"> </w:t>
      </w:r>
      <w:r w:rsidR="00B42B34" w:rsidRPr="00B42B34">
        <w:rPr>
          <w:bCs/>
        </w:rPr>
        <w:t>финансов</w:t>
      </w:r>
      <w:r w:rsidR="00B42B34" w:rsidRPr="00B42B34">
        <w:t xml:space="preserve"> </w:t>
      </w:r>
      <w:r w:rsidR="00B42B34" w:rsidRPr="00B42B34">
        <w:rPr>
          <w:bCs/>
        </w:rPr>
        <w:t>Российской</w:t>
      </w:r>
      <w:r w:rsidR="00B42B34" w:rsidRPr="00B42B34">
        <w:t xml:space="preserve"> </w:t>
      </w:r>
      <w:r w:rsidR="00B42B34" w:rsidRPr="00B42B34">
        <w:rPr>
          <w:bCs/>
        </w:rPr>
        <w:t>Федерации</w:t>
      </w:r>
      <w:r w:rsidR="00B42B34" w:rsidRPr="00B42B34">
        <w:t xml:space="preserve"> </w:t>
      </w:r>
      <w:r w:rsidR="00B42B34" w:rsidRPr="00B42B34">
        <w:rPr>
          <w:bCs/>
        </w:rPr>
        <w:t>от</w:t>
      </w:r>
      <w:r w:rsidR="00B42B34" w:rsidRPr="00B42B34">
        <w:t xml:space="preserve"> 02.07.</w:t>
      </w:r>
      <w:r w:rsidR="00B42B34" w:rsidRPr="00B42B34">
        <w:rPr>
          <w:bCs/>
        </w:rPr>
        <w:t>2020</w:t>
      </w:r>
      <w:r w:rsidR="00B42B34" w:rsidRPr="00B42B34">
        <w:t xml:space="preserve"> </w:t>
      </w:r>
      <w:r w:rsidR="00B42B34" w:rsidRPr="00B42B34">
        <w:rPr>
          <w:bCs/>
        </w:rPr>
        <w:t>№</w:t>
      </w:r>
      <w:r w:rsidR="00B42B34" w:rsidRPr="00B42B34">
        <w:t xml:space="preserve"> 131н "О внесении изменений в </w:t>
      </w:r>
      <w:r w:rsidR="00B42B34" w:rsidRPr="00B42B34">
        <w:rPr>
          <w:bCs/>
        </w:rPr>
        <w:t>приказ</w:t>
      </w:r>
      <w:r w:rsidR="00B42B34" w:rsidRPr="00B42B34">
        <w:t xml:space="preserve"> </w:t>
      </w:r>
      <w:r w:rsidR="00B42B34" w:rsidRPr="00B42B34">
        <w:rPr>
          <w:bCs/>
        </w:rPr>
        <w:t>Министерства</w:t>
      </w:r>
      <w:r w:rsidR="00B42B34" w:rsidRPr="00B42B34">
        <w:t xml:space="preserve"> </w:t>
      </w:r>
      <w:r w:rsidR="00B42B34" w:rsidRPr="00B42B34">
        <w:rPr>
          <w:bCs/>
        </w:rPr>
        <w:t>финансов</w:t>
      </w:r>
      <w:r w:rsidR="00B42B34" w:rsidRPr="00B42B34">
        <w:t xml:space="preserve"> </w:t>
      </w:r>
      <w:r w:rsidR="00B42B34" w:rsidRPr="00B42B34">
        <w:rPr>
          <w:bCs/>
        </w:rPr>
        <w:t>Российской</w:t>
      </w:r>
      <w:r w:rsidR="00B42B34" w:rsidRPr="00B42B34">
        <w:t xml:space="preserve"> </w:t>
      </w:r>
      <w:r w:rsidR="00B42B34" w:rsidRPr="00B42B34">
        <w:rPr>
          <w:bCs/>
        </w:rPr>
        <w:t>Федерации</w:t>
      </w:r>
      <w:r w:rsidR="00B42B34" w:rsidRPr="00B42B34">
        <w:t xml:space="preserve"> </w:t>
      </w:r>
      <w:r w:rsidR="00B42B34" w:rsidRPr="00B42B34">
        <w:rPr>
          <w:bCs/>
        </w:rPr>
        <w:t>от</w:t>
      </w:r>
      <w:r w:rsidR="00B42B34" w:rsidRPr="00B42B34">
        <w:t xml:space="preserve"> </w:t>
      </w:r>
      <w:r w:rsidR="00B42B34" w:rsidRPr="00B42B34">
        <w:rPr>
          <w:bCs/>
        </w:rPr>
        <w:t>28</w:t>
      </w:r>
      <w:r w:rsidR="00B42B34" w:rsidRPr="00B42B34">
        <w:t xml:space="preserve"> </w:t>
      </w:r>
      <w:r w:rsidR="00B42B34" w:rsidRPr="00B42B34">
        <w:rPr>
          <w:bCs/>
        </w:rPr>
        <w:t>декабря</w:t>
      </w:r>
      <w:r w:rsidR="00B42B34" w:rsidRPr="00B42B34">
        <w:t xml:space="preserve"> 2010 г. </w:t>
      </w:r>
      <w:r w:rsidR="00B42B34" w:rsidRPr="00B42B34">
        <w:rPr>
          <w:bCs/>
        </w:rPr>
        <w:t>№</w:t>
      </w:r>
      <w:r w:rsidR="00B42B34" w:rsidRPr="00B42B34">
        <w:t xml:space="preserve"> </w:t>
      </w:r>
      <w:r w:rsidR="00B42B34" w:rsidRPr="00B42B34">
        <w:rPr>
          <w:bCs/>
        </w:rPr>
        <w:t>191н</w:t>
      </w:r>
      <w:r w:rsidR="00B42B34" w:rsidRPr="00B42B34">
        <w:t xml:space="preserve"> "Об утверждении Инструкции о порядке составления и представления</w:t>
      </w:r>
      <w:proofErr w:type="gramEnd"/>
      <w:r w:rsidR="00B42B34" w:rsidRPr="00B42B34">
        <w:t xml:space="preserve"> </w:t>
      </w:r>
      <w:proofErr w:type="gramStart"/>
      <w:r w:rsidR="00B42B34" w:rsidRPr="00B42B34">
        <w:t xml:space="preserve">годовой, квартальной и месячной отчетности об исполнении бюджетов бюджетной системы </w:t>
      </w:r>
      <w:r w:rsidR="00B42B34" w:rsidRPr="00B42B34">
        <w:rPr>
          <w:bCs/>
        </w:rPr>
        <w:t>Российской</w:t>
      </w:r>
      <w:r w:rsidR="00B42B34" w:rsidRPr="00B42B34">
        <w:t xml:space="preserve"> </w:t>
      </w:r>
      <w:r w:rsidR="00B42B34" w:rsidRPr="00B42B34">
        <w:rPr>
          <w:bCs/>
        </w:rPr>
        <w:t>Федерации</w:t>
      </w:r>
      <w:r w:rsidR="00B42B34">
        <w:t xml:space="preserve">», </w:t>
      </w:r>
      <w:r>
        <w:t>иными нормативными правовыми актами Российской Федерации утвердить учетную политику Администрации сельского поселения Заволжье муниципального района Приволжский Самарской области на 202</w:t>
      </w:r>
      <w:r w:rsidR="00B42B34">
        <w:t>1</w:t>
      </w:r>
      <w:r>
        <w:t xml:space="preserve"> год путем пролонгации распоряжения от 18.12.2018г №61 </w:t>
      </w:r>
      <w:r w:rsidRPr="006C0056">
        <w:t>«Об учетной политике Администрации сельского поселения Заволжье на 2019 г</w:t>
      </w:r>
      <w:r w:rsidR="00B42B34">
        <w:t>од» с внесенными изменениями.</w:t>
      </w:r>
      <w:proofErr w:type="gramEnd"/>
    </w:p>
    <w:p w:rsidR="00A609F0" w:rsidRDefault="00A609F0" w:rsidP="00A609F0">
      <w:pPr>
        <w:widowControl w:val="0"/>
        <w:autoSpaceDE w:val="0"/>
        <w:autoSpaceDN w:val="0"/>
        <w:adjustRightInd w:val="0"/>
        <w:spacing w:line="240" w:lineRule="atLeast"/>
        <w:rPr>
          <w:bCs/>
          <w:iCs/>
        </w:rPr>
      </w:pPr>
      <w:r>
        <w:t xml:space="preserve">В раздел </w:t>
      </w:r>
      <w:r w:rsidRPr="00A609F0">
        <w:rPr>
          <w:bCs/>
          <w:iCs/>
        </w:rPr>
        <w:t>2. МЕТОДОЛОГИЧЕСКИЕ АСПЕКТЫ УЧЕТНОЙ ПОЛИТИКИ В ЧАС</w:t>
      </w:r>
      <w:r>
        <w:rPr>
          <w:bCs/>
          <w:iCs/>
        </w:rPr>
        <w:t>ТИ ВЕДЕНИЯ БУХГАЛТЕРСКОГО УЧЕТА:</w:t>
      </w:r>
    </w:p>
    <w:p w:rsidR="00A609F0" w:rsidRPr="004D3CB8" w:rsidRDefault="00A609F0" w:rsidP="00A609F0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iCs/>
        </w:rPr>
      </w:pPr>
      <w:r w:rsidRPr="004D3CB8">
        <w:rPr>
          <w:b/>
          <w:bCs/>
          <w:iCs/>
        </w:rPr>
        <w:t xml:space="preserve">«в пп.1.3 </w:t>
      </w:r>
      <w:r w:rsidR="00153B36">
        <w:rPr>
          <w:b/>
          <w:bCs/>
          <w:iCs/>
        </w:rPr>
        <w:t>«</w:t>
      </w:r>
      <w:r w:rsidRPr="004D3CB8">
        <w:rPr>
          <w:b/>
          <w:bCs/>
          <w:iCs/>
        </w:rPr>
        <w:t>Учет материальных запасов</w:t>
      </w:r>
      <w:r w:rsidR="00153B36">
        <w:rPr>
          <w:b/>
          <w:bCs/>
          <w:iCs/>
        </w:rPr>
        <w:t>»</w:t>
      </w:r>
      <w:r w:rsidRPr="004D3CB8">
        <w:rPr>
          <w:b/>
          <w:bCs/>
          <w:iCs/>
        </w:rPr>
        <w:t xml:space="preserve"> добавить:</w:t>
      </w:r>
    </w:p>
    <w:p w:rsidR="00A609F0" w:rsidRDefault="00A609F0" w:rsidP="00A609F0">
      <w:pPr>
        <w:pStyle w:val="ConsPlusNormal"/>
        <w:jc w:val="both"/>
      </w:pPr>
      <w:r>
        <w:t xml:space="preserve"> счет 105 00 "Материальные запасы" предназначен для учета операций с материальными объектами, относящимися к материалам в соответствии с положениями </w:t>
      </w:r>
      <w:hyperlink r:id="rId4" w:history="1">
        <w:r w:rsidRPr="00A609F0">
          <w:t>СГС</w:t>
        </w:r>
      </w:hyperlink>
      <w:r w:rsidRPr="00A609F0">
        <w:t xml:space="preserve"> </w:t>
      </w:r>
      <w:r>
        <w:t>"Запасы".</w:t>
      </w:r>
      <w:r w:rsidRPr="00A609F0">
        <w:t xml:space="preserve"> </w:t>
      </w:r>
      <w:r>
        <w:t xml:space="preserve">Изменить название счета 105 01 с "Медикаменты и перевязочные средства" на </w:t>
      </w:r>
      <w:r w:rsidRPr="00504B09">
        <w:rPr>
          <w:b/>
          <w:bCs/>
        </w:rPr>
        <w:t>"Лекарственные препараты и медицинские материалы</w:t>
      </w:r>
      <w:r w:rsidRPr="004D3CB8">
        <w:rPr>
          <w:bCs/>
        </w:rPr>
        <w:t>"</w:t>
      </w:r>
      <w:proofErr w:type="gramStart"/>
      <w:r w:rsidRPr="004D3CB8">
        <w:t>.</w:t>
      </w:r>
      <w:r>
        <w:t>У</w:t>
      </w:r>
      <w:proofErr w:type="gramEnd"/>
      <w:r>
        <w:t xml:space="preserve">читывать на данном счете не только медикаменты, компоненты, </w:t>
      </w:r>
      <w:proofErr w:type="spellStart"/>
      <w:r>
        <w:t>эндопротезы</w:t>
      </w:r>
      <w:proofErr w:type="spellEnd"/>
      <w:r>
        <w:t xml:space="preserve">, бактерийные препараты, сыворотки, вакцины, кровь и перевязочные средства, но </w:t>
      </w:r>
      <w:r w:rsidRPr="00A609F0">
        <w:rPr>
          <w:bCs/>
        </w:rPr>
        <w:t>и иные лекарственные препараты и медицинские изделия, применяемые в медицинских целях</w:t>
      </w:r>
      <w:r w:rsidRPr="00A609F0">
        <w:t>.</w:t>
      </w:r>
    </w:p>
    <w:p w:rsidR="00A609F0" w:rsidRDefault="00A609F0" w:rsidP="00A609F0">
      <w:pPr>
        <w:pStyle w:val="ConsPlusNormal"/>
        <w:jc w:val="both"/>
      </w:pPr>
      <w:r>
        <w:t>На счете 105 04 "Строительные материалы" отражать строительные материалы для целей капитальных вложений.</w:t>
      </w:r>
    </w:p>
    <w:p w:rsidR="00A609F0" w:rsidRDefault="00A609F0" w:rsidP="00A609F0">
      <w:pPr>
        <w:pStyle w:val="ConsPlusNormal"/>
        <w:jc w:val="both"/>
      </w:pPr>
      <w:r>
        <w:t>Расширить определение специальной одежды, учитываемой на счете 105 05 "Мягкий инвентарь", в частности, она должна быть функционально ориентирована на охрану труда, технику безопасности, гражданскую оборону, защиту населения от чрезвычайных ситуаций природного и техногенного характера.</w:t>
      </w:r>
    </w:p>
    <w:p w:rsidR="00504B09" w:rsidRDefault="00504B09" w:rsidP="006C0056">
      <w:pPr>
        <w:rPr>
          <w:bCs/>
          <w:iCs/>
        </w:rPr>
      </w:pPr>
    </w:p>
    <w:p w:rsidR="006C0056" w:rsidRDefault="00A609F0" w:rsidP="006C0056">
      <w:pPr>
        <w:rPr>
          <w:b/>
        </w:rPr>
      </w:pPr>
      <w:r w:rsidRPr="004D3CB8">
        <w:rPr>
          <w:b/>
        </w:rPr>
        <w:t xml:space="preserve">«в пп.1.2 </w:t>
      </w:r>
      <w:r w:rsidR="00153B36">
        <w:rPr>
          <w:b/>
        </w:rPr>
        <w:t>«</w:t>
      </w:r>
      <w:r w:rsidRPr="004D3CB8">
        <w:rPr>
          <w:b/>
        </w:rPr>
        <w:t>Учет нефинансовых активов</w:t>
      </w:r>
      <w:r w:rsidR="00153B36">
        <w:rPr>
          <w:b/>
        </w:rPr>
        <w:t>»</w:t>
      </w:r>
      <w:r w:rsidR="004D3CB8" w:rsidRPr="004D3CB8">
        <w:rPr>
          <w:b/>
        </w:rPr>
        <w:t xml:space="preserve"> добавить:</w:t>
      </w:r>
    </w:p>
    <w:p w:rsidR="004D3CB8" w:rsidRDefault="004D3CB8" w:rsidP="004D3CB8">
      <w:pPr>
        <w:pStyle w:val="ConsPlusNormal"/>
        <w:spacing w:line="240" w:lineRule="atLeast"/>
        <w:ind w:firstLine="539"/>
        <w:jc w:val="both"/>
      </w:pPr>
      <w:r>
        <w:t xml:space="preserve">Согласно поправкам, внесенным в </w:t>
      </w:r>
      <w:hyperlink r:id="rId5" w:history="1">
        <w:r w:rsidRPr="004D3CB8">
          <w:t>п. 127</w:t>
        </w:r>
      </w:hyperlink>
      <w:r w:rsidRPr="004D3CB8">
        <w:t xml:space="preserve"> </w:t>
      </w:r>
      <w:r>
        <w:t xml:space="preserve">Инструкции N 157н, аналитические коды вида </w:t>
      </w:r>
      <w:r>
        <w:lastRenderedPageBreak/>
        <w:t>синтетического учета счета 106 00 "Вложения в нефинансовые активы" изменить следующим образом.</w:t>
      </w:r>
    </w:p>
    <w:p w:rsidR="004D3CB8" w:rsidRDefault="004D3CB8" w:rsidP="004D3CB8">
      <w:pPr>
        <w:pStyle w:val="ConsPlusNormal"/>
        <w:spacing w:line="240" w:lineRule="atLeast"/>
        <w:ind w:firstLine="539"/>
        <w:jc w:val="both"/>
      </w:pPr>
      <w:proofErr w:type="gramStart"/>
      <w:r>
        <w:t>Вложения в нефинансовые активы, осуществляемые муниципальным образованием в целях создания (модернизации, реконструкции, в том числе с элементами реставрации, технического перевооружения, достройки, дооборудования, иных расходов, формирующих капитальные вложения) нефинансовых активов, учитывать на счете, содержащем соответствующий аналитический код группы синтетического счета (10, 20, 30, 40, 60) и соответствующий аналитический код вида синтетического счета объекта учета:</w:t>
      </w:r>
      <w:proofErr w:type="gramEnd"/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- 1 "Вложения в основные средства";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N "Вложения в научные исследования (научно-исследовательские разработки)";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R "Вложения в опытно-конструкторские и технологические разработки";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I "Вложения в программное обеспечение и базы данных";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D "Вложения в иные объекты интеллектуальной собственности";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 xml:space="preserve">- 3 "Вложения в </w:t>
      </w:r>
      <w:proofErr w:type="spellStart"/>
      <w:r>
        <w:t>непроизведенные</w:t>
      </w:r>
      <w:proofErr w:type="spellEnd"/>
      <w:r>
        <w:t xml:space="preserve"> активы";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- 4 "Вложения в материальные запасы".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 xml:space="preserve">Счет 106 02 000 "Вложения в нематериальные активы" фактически </w:t>
      </w:r>
      <w:proofErr w:type="gramStart"/>
      <w:r>
        <w:t>заменить на новые</w:t>
      </w:r>
      <w:proofErr w:type="gramEnd"/>
      <w:r>
        <w:t xml:space="preserve"> счета: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- 106 0N "Вложения в научные исследования (научно-исследовательские разработки)";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- 106 0R "Вложения в опытно-конструкторские и технологические разработки";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- 106 0I "Вложения в программное обеспечение и базы данных";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- 106 0D "Вложения в иные объекты интеллектуальной собственности".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 xml:space="preserve">В силу новой редакции </w:t>
      </w:r>
      <w:hyperlink r:id="rId6" w:history="1">
        <w:r w:rsidRPr="004D3CB8">
          <w:t>п. 131</w:t>
        </w:r>
      </w:hyperlink>
      <w:r>
        <w:t xml:space="preserve"> Инструкции N 157н счета предназначены для учета фактических произведенных затрат в составе вложений в объекты нематериальных активов, связанных с их приобретением, созданием, формированием балансовой стоимости, а также сумм произведенных вложений в объекты нематериальных активов, безвозмездно передаваемых в целях формирования стоимости нематериальных объектов основных фондов.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 xml:space="preserve">Вложения в нефинансовые активы государственной (муниципальной) казны, в том числе ценностей </w:t>
      </w:r>
      <w:proofErr w:type="spellStart"/>
      <w:r>
        <w:t>Госфонда</w:t>
      </w:r>
      <w:proofErr w:type="spellEnd"/>
      <w:r>
        <w:t>, учитывать по группе 50 "Вложения в объекты государственной (муниципальной) казны" и соответствующему аналитическому коду вида синтетического счета объекта учета: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- 1 "Вложения в недвижимое имущество государственной (муниципальной) казны";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- 2 "Вложения в движимое имущество государственной (муниципальной) казны";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- 3 "Вложения в ценности государственных фондов России";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- 4 "Вложения в нематериальные активы государственной (муниципальной) казны";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 xml:space="preserve">- 5 "Вложения в </w:t>
      </w:r>
      <w:proofErr w:type="spellStart"/>
      <w:r>
        <w:t>непроизведенные</w:t>
      </w:r>
      <w:proofErr w:type="spellEnd"/>
      <w:r>
        <w:t xml:space="preserve"> активы государственной (муниципальной) казны";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- 6 "Вложения в материальные запасы государственной (муниципальной) казны".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 xml:space="preserve">Также приведена аналитика по учету сумм инвестиций по концессионному соглашению (группа 90 "Вложения в имущество </w:t>
      </w:r>
      <w:proofErr w:type="spellStart"/>
      <w:r>
        <w:t>концедента</w:t>
      </w:r>
      <w:proofErr w:type="spellEnd"/>
      <w:r>
        <w:t>").</w:t>
      </w:r>
    </w:p>
    <w:p w:rsidR="004D3CB8" w:rsidRDefault="004D3CB8" w:rsidP="004D3CB8">
      <w:pPr>
        <w:pStyle w:val="ConsPlusNormal"/>
        <w:spacing w:line="240" w:lineRule="atLeast"/>
        <w:jc w:val="both"/>
      </w:pPr>
    </w:p>
    <w:p w:rsidR="004D3CB8" w:rsidRDefault="004D3CB8" w:rsidP="004D3CB8">
      <w:pPr>
        <w:pStyle w:val="ConsPlusNormal"/>
        <w:spacing w:line="240" w:lineRule="atLeast"/>
        <w:jc w:val="center"/>
        <w:outlineLvl w:val="0"/>
      </w:pPr>
      <w:r>
        <w:t>Права пользования активами</w:t>
      </w:r>
    </w:p>
    <w:p w:rsidR="004D3CB8" w:rsidRDefault="004D3CB8" w:rsidP="004D3CB8">
      <w:pPr>
        <w:pStyle w:val="ConsPlusNormal"/>
        <w:spacing w:line="240" w:lineRule="atLeast"/>
        <w:jc w:val="both"/>
      </w:pPr>
    </w:p>
    <w:p w:rsidR="004D3CB8" w:rsidRDefault="004D3CB8" w:rsidP="004D3CB8">
      <w:pPr>
        <w:pStyle w:val="ConsPlusNormal"/>
        <w:spacing w:line="240" w:lineRule="atLeast"/>
        <w:jc w:val="both"/>
      </w:pPr>
      <w:r>
        <w:t xml:space="preserve">Счет 111 00 "Права пользования активами" предназначен для учета объектов учета операционной аренды - прав пользования активами, осуществляемого пользователем (арендатором) в соответствии с </w:t>
      </w:r>
      <w:hyperlink r:id="rId7" w:history="1">
        <w:r w:rsidRPr="004D3CB8">
          <w:t>СГС</w:t>
        </w:r>
      </w:hyperlink>
      <w:r w:rsidRPr="004D3CB8">
        <w:t xml:space="preserve"> </w:t>
      </w:r>
      <w:r>
        <w:t>"Аренда".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 xml:space="preserve">После внесенных изменений на данном счете также необходимо вести учет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права на результаты интеллектуальной деятельности), признаваемые в составе нефинансовых активов в соответствии с положениями </w:t>
      </w:r>
      <w:hyperlink r:id="rId8" w:history="1">
        <w:r w:rsidRPr="004D3CB8">
          <w:t>СГС</w:t>
        </w:r>
      </w:hyperlink>
      <w:r w:rsidRPr="004D3CB8">
        <w:t xml:space="preserve"> </w:t>
      </w:r>
      <w:r>
        <w:t xml:space="preserve">"Нематериальные активы" 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 xml:space="preserve">В связи с этим установлено, что права пользования нематериальными активами учитываются по аналитическому коду группы синтетического счета 60 "Права пользования </w:t>
      </w:r>
      <w:r>
        <w:lastRenderedPageBreak/>
        <w:t>нематериальными активами" и соответствующему аналитическому коду вида синтетического счета объекта учета: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N "Права пользования научными исследованиями (научно-исследовательскими разработками)";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R "Права пользования опытно-конструкторскими и технологическими разработками";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I "Права пользования программным обеспечением и базами данных";</w:t>
      </w:r>
    </w:p>
    <w:p w:rsidR="004D3CB8" w:rsidRDefault="004D3CB8" w:rsidP="004D3CB8">
      <w:pPr>
        <w:pStyle w:val="ConsPlusNormal"/>
        <w:spacing w:line="240" w:lineRule="atLeast"/>
        <w:ind w:firstLine="540"/>
        <w:jc w:val="both"/>
      </w:pPr>
      <w:r>
        <w:t>- D "Права пользования иными объектами интеллектуальной собственности".</w:t>
      </w:r>
    </w:p>
    <w:p w:rsidR="004D3CB8" w:rsidRPr="004D3CB8" w:rsidRDefault="004D3CB8" w:rsidP="004D3CB8">
      <w:pPr>
        <w:pStyle w:val="ConsPlusNormal"/>
        <w:spacing w:line="240" w:lineRule="atLeast"/>
        <w:ind w:firstLine="540"/>
        <w:jc w:val="both"/>
      </w:pPr>
      <w:proofErr w:type="gramStart"/>
      <w:r>
        <w:t xml:space="preserve">Аналитический учет прав пользования активами ведется по объектам, полученным в пользование, правам пользования нематериальными активами, идентификационным номерам объектов нефинансовых активов (учетным номерам, реестровым номерам, кадастровым номерам (при наличии)) и по правообладателям (арендодателям) в разрезе договоров (иных правовых оснований прав пользования нематериальными активами), мест нахождения имущества, полученного в пользование, а также ответственных лиц </w:t>
      </w:r>
      <w:r w:rsidRPr="004D3CB8">
        <w:t>(</w:t>
      </w:r>
      <w:hyperlink r:id="rId9" w:history="1">
        <w:r w:rsidRPr="004D3CB8">
          <w:t>п. 151.3</w:t>
        </w:r>
      </w:hyperlink>
      <w:r w:rsidRPr="004D3CB8">
        <w:t xml:space="preserve"> Инструкции N 157н в новой редакции).</w:t>
      </w:r>
      <w:proofErr w:type="gramEnd"/>
    </w:p>
    <w:p w:rsidR="00504B09" w:rsidRDefault="00504B09" w:rsidP="006C0056">
      <w:pPr>
        <w:rPr>
          <w:b/>
        </w:rPr>
      </w:pPr>
    </w:p>
    <w:p w:rsidR="004D3CB8" w:rsidRPr="0003093C" w:rsidRDefault="0003093C" w:rsidP="006C0056">
      <w:pPr>
        <w:rPr>
          <w:b/>
        </w:rPr>
      </w:pPr>
      <w:r w:rsidRPr="0003093C">
        <w:rPr>
          <w:b/>
        </w:rPr>
        <w:t xml:space="preserve">«в пп.1.10 </w:t>
      </w:r>
      <w:r w:rsidR="00153B36">
        <w:rPr>
          <w:b/>
        </w:rPr>
        <w:t>«</w:t>
      </w:r>
      <w:r w:rsidRPr="0003093C">
        <w:rPr>
          <w:b/>
        </w:rPr>
        <w:t>Обесценение активов</w:t>
      </w:r>
      <w:r w:rsidR="00153B36">
        <w:rPr>
          <w:b/>
        </w:rPr>
        <w:t>»</w:t>
      </w:r>
      <w:r w:rsidRPr="0003093C">
        <w:rPr>
          <w:b/>
        </w:rPr>
        <w:t xml:space="preserve"> добавить:</w:t>
      </w:r>
    </w:p>
    <w:p w:rsidR="00504B09" w:rsidRDefault="00504B09" w:rsidP="00504B09">
      <w:pPr>
        <w:pStyle w:val="ConsPlusNormal"/>
        <w:jc w:val="both"/>
      </w:pPr>
      <w:r>
        <w:t xml:space="preserve">Для снижения стоимости активов в связи с их обесценением предназначен счет 114 00 "Обесценение нефинансовых активов", его же применятся для отражения </w:t>
      </w:r>
      <w:r>
        <w:rPr>
          <w:b/>
          <w:bCs/>
        </w:rPr>
        <w:t>резерва под снижение стоимости материальных запасов</w:t>
      </w:r>
      <w:r>
        <w:t xml:space="preserve"> (</w:t>
      </w:r>
      <w:hyperlink r:id="rId10" w:history="1">
        <w:r w:rsidRPr="00504B09">
          <w:t>п. 151.6</w:t>
        </w:r>
      </w:hyperlink>
      <w:r>
        <w:t xml:space="preserve"> Инструкции N 157н в новой редакции). В связи с этим ввести новый счет 114 80 "Резерв под снижение стоимости материальных запасов".</w:t>
      </w:r>
    </w:p>
    <w:p w:rsidR="00504B09" w:rsidRDefault="00504B09" w:rsidP="00504B09">
      <w:pPr>
        <w:pStyle w:val="ConsPlusNormal"/>
        <w:jc w:val="both"/>
      </w:pPr>
      <w:r>
        <w:t xml:space="preserve">На счете 114 60 теперь следует отражать </w:t>
      </w:r>
      <w:r>
        <w:rPr>
          <w:b/>
          <w:bCs/>
        </w:rPr>
        <w:t>обесценение прав пользования нематериальными активами</w:t>
      </w:r>
      <w:r>
        <w:t xml:space="preserve">, а на счете 114 70 - </w:t>
      </w:r>
      <w:r>
        <w:rPr>
          <w:b/>
          <w:bCs/>
        </w:rPr>
        <w:t xml:space="preserve">обесценение </w:t>
      </w:r>
      <w:proofErr w:type="spellStart"/>
      <w:r>
        <w:rPr>
          <w:b/>
          <w:bCs/>
        </w:rPr>
        <w:t>непроизведенных</w:t>
      </w:r>
      <w:proofErr w:type="spellEnd"/>
      <w:r>
        <w:rPr>
          <w:b/>
          <w:bCs/>
        </w:rPr>
        <w:t xml:space="preserve"> активов</w:t>
      </w:r>
      <w:r>
        <w:t>.</w:t>
      </w:r>
    </w:p>
    <w:p w:rsidR="00504B09" w:rsidRDefault="00504B09" w:rsidP="00504B09">
      <w:pPr>
        <w:pStyle w:val="ConsPlusNormal"/>
        <w:jc w:val="both"/>
      </w:pPr>
      <w:r>
        <w:t xml:space="preserve">Аналитический учет по счету 114 70 вести в разрезе объектов нефинансовых активов (основных средств, нематериальных активов, </w:t>
      </w:r>
      <w:proofErr w:type="spellStart"/>
      <w:r>
        <w:t>непроизведенных</w:t>
      </w:r>
      <w:proofErr w:type="spellEnd"/>
      <w:r>
        <w:t xml:space="preserve"> активов, прав пользования активами, материальных запасов), идентификационных номеров объектов нефинансовых активов (инвентарных номеров, кадастровых номеров (при наличии), реестровых номеров, учетных номеров) (</w:t>
      </w:r>
      <w:hyperlink r:id="rId11" w:history="1">
        <w:r w:rsidRPr="00504B09">
          <w:t>п. 151.7</w:t>
        </w:r>
      </w:hyperlink>
      <w:r>
        <w:t xml:space="preserve"> Инструкции N 157н в новой редакции).</w:t>
      </w:r>
    </w:p>
    <w:p w:rsidR="00504B09" w:rsidRDefault="00504B09" w:rsidP="00504B09">
      <w:pPr>
        <w:pStyle w:val="ConsPlusNormal"/>
        <w:jc w:val="both"/>
      </w:pPr>
    </w:p>
    <w:p w:rsidR="00504B09" w:rsidRPr="00504B09" w:rsidRDefault="00504B09" w:rsidP="00504B09">
      <w:pPr>
        <w:pStyle w:val="ConsPlusNormal"/>
        <w:jc w:val="both"/>
        <w:rPr>
          <w:b/>
        </w:rPr>
      </w:pPr>
      <w:r w:rsidRPr="00504B09">
        <w:rPr>
          <w:b/>
        </w:rPr>
        <w:t xml:space="preserve">«в пп.1.5 </w:t>
      </w:r>
      <w:r w:rsidR="00153B36">
        <w:rPr>
          <w:b/>
        </w:rPr>
        <w:t>«</w:t>
      </w:r>
      <w:r w:rsidRPr="00504B09">
        <w:rPr>
          <w:b/>
        </w:rPr>
        <w:t>Кассовые операции</w:t>
      </w:r>
      <w:r w:rsidR="00153B36">
        <w:rPr>
          <w:b/>
        </w:rPr>
        <w:t>»</w:t>
      </w:r>
      <w:r w:rsidRPr="00504B09">
        <w:rPr>
          <w:b/>
        </w:rPr>
        <w:t xml:space="preserve"> добавить: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 w:rsidRPr="00504B09">
        <w:t xml:space="preserve">В </w:t>
      </w:r>
      <w:hyperlink r:id="rId12" w:history="1">
        <w:r w:rsidRPr="00504B09">
          <w:t>пункт 167</w:t>
        </w:r>
      </w:hyperlink>
      <w:r w:rsidRPr="00504B09">
        <w:t xml:space="preserve"> Инструкции N 157н введены следующие нормы, регламентирующие ведение </w:t>
      </w:r>
      <w:hyperlink r:id="rId13" w:history="1">
        <w:r w:rsidRPr="00504B09">
          <w:t>кассовой книги</w:t>
        </w:r>
      </w:hyperlink>
      <w:r>
        <w:t xml:space="preserve">. Записи в нее вносить по каждому кассовому приходному и расходному ордеру, оформленному на полученные, выданные наличные деньги (полное </w:t>
      </w:r>
      <w:proofErr w:type="spellStart"/>
      <w:r>
        <w:t>оприходование</w:t>
      </w:r>
      <w:proofErr w:type="spellEnd"/>
      <w:r>
        <w:t xml:space="preserve"> в кассу наличных денег).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>При ведении кассовых операций и оформлении кассовых документов в электронном виде, подписываемых квалифицированными электронными подписями (ЭЦП), кассовая книга формируется в виде электронного документа ежедневно, включая рабочие дни, в которые кассовые операции не проводились.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 xml:space="preserve">Записи в электронную кассовую книгу вносятся в момент подписания кассиром ЭЦП каждого приходного кассового ордера, расходного кассового ордера, либо </w:t>
      </w:r>
      <w:proofErr w:type="spellStart"/>
      <w:proofErr w:type="gramStart"/>
      <w:r>
        <w:t>скан-копии</w:t>
      </w:r>
      <w:proofErr w:type="spellEnd"/>
      <w:proofErr w:type="gramEnd"/>
      <w:r>
        <w:t xml:space="preserve"> приходного кассового ордера, расходного кассового ордера содержащего собственноручные подписи. В последнем случае ответственность за соответствие </w:t>
      </w:r>
      <w:proofErr w:type="spellStart"/>
      <w:proofErr w:type="gramStart"/>
      <w:r>
        <w:t>скан-копии</w:t>
      </w:r>
      <w:proofErr w:type="spellEnd"/>
      <w:proofErr w:type="gramEnd"/>
      <w:r>
        <w:t xml:space="preserve"> подлиннику кассового ордера, содержащего собственноручные подписи, возлагается на кассира.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>Квитанцию к приходному кассовому ордеру, сформированному в электронном виде, подписывает ЭЦП главный бухгалтер или уполномоченное лицо и кассир.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 xml:space="preserve">Регистрация в хронологическом порядке в течение финансового года приходных кассовых ордеров </w:t>
      </w:r>
      <w:hyperlink r:id="rId14" w:history="1">
        <w:r w:rsidRPr="00504B09">
          <w:t>(ф. 0310001)</w:t>
        </w:r>
      </w:hyperlink>
      <w:r w:rsidRPr="00504B09">
        <w:t xml:space="preserve"> и расходных кассовых ордеров </w:t>
      </w:r>
      <w:hyperlink r:id="rId15" w:history="1">
        <w:r w:rsidRPr="00504B09">
          <w:t>(ф. 0310002)</w:t>
        </w:r>
      </w:hyperlink>
      <w:r w:rsidRPr="00504B09">
        <w:t xml:space="preserve">, созданных в виде электронных документов, осуществляется в </w:t>
      </w:r>
      <w:hyperlink r:id="rId16" w:history="1">
        <w:r w:rsidRPr="00504B09">
          <w:t>журнале</w:t>
        </w:r>
      </w:hyperlink>
      <w:r w:rsidRPr="00504B09">
        <w:t xml:space="preserve"> рег</w:t>
      </w:r>
      <w:r>
        <w:t>истрации приходных и расходных кассовых ордеров с указанием информации об их статусе (</w:t>
      </w:r>
      <w:proofErr w:type="gramStart"/>
      <w:r>
        <w:t>новый</w:t>
      </w:r>
      <w:proofErr w:type="gramEnd"/>
      <w:r>
        <w:t>, подписан, исполнен, аннулирован).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 xml:space="preserve">Статус "исполнен" в отношении приходного кассового ордера, зарегистрированного в журнале регистрации приходных и расходных кассовых ордеров, проставляется при </w:t>
      </w:r>
      <w:r>
        <w:lastRenderedPageBreak/>
        <w:t>формировании квитанции к приходному кассовому ордеру, которую подписывает ЭЦП главный бухгалтер или уполномоченное лицо и кассир.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>В случае если по приходному кассовому ордеру или расходному кассовому ордеру, зарегистрированному в журнале регистрации приходных и расходных кассовых ордеров в статусе "подписан", кассовая операция в течение временного периода, установленного учетной политикой (но не более 10 рабочих дней), не проведена, то такой кассовый ордер аннулируется (переводится в статус "аннулирован").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>Журнал регистрации приходных и расходных кассовых ордеров формируется в виде электронного документа, подписываемого ответственным исполнителем бухгалтерии ЭЦП, за временной интервал в течение финансового года по необходимости и (или) с периодичностью, предусмотренной учетной политикой, но не реже одного раза в год (по завершении отчетного финансового года).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>Записи в кассовой книге, сформированной на бумажном носителе или в электронном виде, сверяются с данными кассовых документов главным бухгалтером, иным лицом, на которое возложено ведение бухгалтерского учета, и в случае отсутствия несоответствий подписываются: на бумажном носителе - собственноручно, в электронном виде - ЭЦП.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>Кассовая книга, сформированная на бумажном носителе (копия электронной кассовой книги на бумажном носителе), должна быть прошнурована, пронумерована и скреплена печатью, а количество листов в ней должно быть заверено подписями главного бухгалтера (иного лица, на которого возложено ведение бухгалтерского учета).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>С листом кассовой книги (копией электронной кассовой книги на бумажном носителе), оформленным за соответствующий рабочий день, кассир прошивает кассовые документы, содержащие собственноручные подписи.</w:t>
      </w:r>
    </w:p>
    <w:p w:rsidR="00504B09" w:rsidRDefault="00504B09" w:rsidP="00504B09">
      <w:pPr>
        <w:pStyle w:val="ConsPlusNormal"/>
        <w:spacing w:line="240" w:lineRule="atLeast"/>
        <w:ind w:firstLine="539"/>
        <w:jc w:val="both"/>
      </w:pPr>
      <w:r>
        <w:t>Аналитический учет по счету "Касса" ведется в разрезе ответственных лиц (лиц, осуществляющих ведение кассовых операций (кассиров)) и по видам валют (</w:t>
      </w:r>
      <w:hyperlink r:id="rId17" w:history="1">
        <w:r w:rsidRPr="00504B09">
          <w:t>п. 168</w:t>
        </w:r>
      </w:hyperlink>
      <w:r w:rsidRPr="00504B09">
        <w:t xml:space="preserve"> </w:t>
      </w:r>
      <w:r>
        <w:t>Инструкции N 157н в новой редакции).</w:t>
      </w:r>
    </w:p>
    <w:p w:rsidR="00504B09" w:rsidRDefault="00504B09" w:rsidP="00504B09">
      <w:pPr>
        <w:pStyle w:val="ConsPlusNormal"/>
        <w:jc w:val="both"/>
      </w:pPr>
    </w:p>
    <w:p w:rsidR="00153B36" w:rsidRDefault="00153B36" w:rsidP="00153B36">
      <w:pPr>
        <w:spacing w:line="240" w:lineRule="atLeast"/>
        <w:rPr>
          <w:bCs/>
        </w:rPr>
      </w:pPr>
      <w:r w:rsidRPr="00153B36">
        <w:rPr>
          <w:b/>
        </w:rPr>
        <w:t>«в пп.</w:t>
      </w:r>
      <w:r>
        <w:rPr>
          <w:b/>
        </w:rPr>
        <w:t>1.14  «</w:t>
      </w:r>
      <w:r w:rsidRPr="008F7F74">
        <w:rPr>
          <w:b/>
          <w:bCs/>
        </w:rPr>
        <w:t xml:space="preserve">Администрирование доходов, источников </w:t>
      </w:r>
      <w:r>
        <w:rPr>
          <w:b/>
          <w:bCs/>
        </w:rPr>
        <w:t>финансирования дефицита бюджета»</w:t>
      </w:r>
      <w:r>
        <w:rPr>
          <w:bCs/>
        </w:rPr>
        <w:t xml:space="preserve"> добавить:</w:t>
      </w:r>
    </w:p>
    <w:p w:rsidR="00153B36" w:rsidRDefault="00153B36" w:rsidP="00153B36">
      <w:pPr>
        <w:pStyle w:val="ConsPlusNormal"/>
        <w:spacing w:line="240" w:lineRule="atLeast"/>
        <w:ind w:firstLine="539"/>
        <w:jc w:val="both"/>
      </w:pPr>
      <w:r>
        <w:t>Уточнено, что аналитический учет по счету 205 00 "Расчеты по доходам" ведется по видам доходов (поступлений) в разрезе контрагентов (плательщиков доходов (групп плательщиков доходов)), идентификационных номеров расчетов по доходам (уникальных идентификаторов начислений (УИН) (при наличии)), правовых оснований возникновения расчетов и видов валют (</w:t>
      </w:r>
      <w:hyperlink r:id="rId18" w:history="1">
        <w:r w:rsidRPr="00153B36">
          <w:t>п. 200</w:t>
        </w:r>
      </w:hyperlink>
      <w:r w:rsidRPr="00153B36">
        <w:t xml:space="preserve"> </w:t>
      </w:r>
      <w:r>
        <w:t>Инструкции N 157н в новой редакции).</w:t>
      </w:r>
    </w:p>
    <w:p w:rsidR="00153B36" w:rsidRDefault="00153B36" w:rsidP="00153B36">
      <w:pPr>
        <w:pStyle w:val="ConsPlusNormal"/>
        <w:spacing w:line="240" w:lineRule="atLeast"/>
        <w:ind w:firstLine="539"/>
        <w:jc w:val="both"/>
      </w:pPr>
      <w:r>
        <w:t>Применение способа организации аналитического учета по группе плательщиков доходов допускается при условии обеспечения ведения учреждением:</w:t>
      </w:r>
    </w:p>
    <w:p w:rsidR="00153B36" w:rsidRDefault="00153B36" w:rsidP="00153B36">
      <w:pPr>
        <w:pStyle w:val="ConsPlusNormal"/>
        <w:spacing w:line="240" w:lineRule="atLeast"/>
        <w:ind w:firstLine="539"/>
        <w:jc w:val="both"/>
      </w:pPr>
      <w:r>
        <w:t>- персонифицированного учета расчетов с плательщиками доходов (в разрезе контрагентов (плательщиков доходов));</w:t>
      </w:r>
    </w:p>
    <w:p w:rsidR="00153B36" w:rsidRDefault="00153B36" w:rsidP="00153B36">
      <w:pPr>
        <w:pStyle w:val="ConsPlusNormal"/>
        <w:spacing w:line="240" w:lineRule="atLeast"/>
        <w:ind w:firstLine="539"/>
        <w:jc w:val="both"/>
      </w:pPr>
      <w:r>
        <w:t>- идентификационных номеров расчетов по доходам (уникальных идентификаторов начислений (УИН) (при наличии));</w:t>
      </w:r>
    </w:p>
    <w:p w:rsidR="00153B36" w:rsidRDefault="00153B36" w:rsidP="00153B36">
      <w:pPr>
        <w:pStyle w:val="ConsPlusNormal"/>
        <w:spacing w:line="240" w:lineRule="atLeast"/>
        <w:ind w:firstLine="539"/>
        <w:jc w:val="both"/>
      </w:pPr>
      <w:r>
        <w:t>- правовых оснований возникновения расчетов вне балансовых счетов рабочего плана счетов (в управленческом учете);</w:t>
      </w:r>
    </w:p>
    <w:p w:rsidR="00153B36" w:rsidRDefault="00153B36" w:rsidP="00153B36">
      <w:pPr>
        <w:pStyle w:val="ConsPlusNormal"/>
        <w:spacing w:line="240" w:lineRule="atLeast"/>
        <w:ind w:firstLine="539"/>
        <w:jc w:val="both"/>
      </w:pPr>
      <w:r>
        <w:t>- формирования персонифицированных регистров учета расчетов с плательщиками;</w:t>
      </w:r>
    </w:p>
    <w:p w:rsidR="00153B36" w:rsidRDefault="00153B36" w:rsidP="00153B36">
      <w:pPr>
        <w:pStyle w:val="ConsPlusNormal"/>
        <w:spacing w:line="240" w:lineRule="atLeast"/>
        <w:ind w:firstLine="539"/>
        <w:jc w:val="both"/>
      </w:pPr>
      <w:r>
        <w:t>- проведения на постоянной основе в целях формирования отчетных данных (не реже чем на отчетную дату) сверки персонифицированных данных управленческого учета и данных об объектах учета, отраженных на балансовых счетах рабочего плана счетов по соответствующим группам плательщиков.</w:t>
      </w:r>
    </w:p>
    <w:p w:rsidR="00153B36" w:rsidRDefault="00153B36" w:rsidP="00153B36">
      <w:pPr>
        <w:spacing w:line="240" w:lineRule="atLeast"/>
        <w:rPr>
          <w:bCs/>
        </w:rPr>
      </w:pPr>
    </w:p>
    <w:p w:rsidR="00153B36" w:rsidRDefault="00153B36" w:rsidP="00153B36">
      <w:pPr>
        <w:spacing w:line="240" w:lineRule="atLeast"/>
        <w:rPr>
          <w:b/>
          <w:bCs/>
        </w:rPr>
      </w:pPr>
      <w:r w:rsidRPr="00153B36">
        <w:rPr>
          <w:b/>
          <w:bCs/>
        </w:rPr>
        <w:t>«в пп.</w:t>
      </w:r>
      <w:r w:rsidR="00502C51">
        <w:rPr>
          <w:b/>
          <w:bCs/>
        </w:rPr>
        <w:t>1.12 «Расчеты с дебиторами»</w:t>
      </w:r>
      <w:r w:rsidRPr="00153B36">
        <w:rPr>
          <w:b/>
          <w:bCs/>
        </w:rPr>
        <w:t xml:space="preserve"> добавить:</w:t>
      </w:r>
    </w:p>
    <w:p w:rsidR="00502C51" w:rsidRDefault="00502C51" w:rsidP="00502C51">
      <w:pPr>
        <w:pStyle w:val="ConsPlusNormal"/>
        <w:spacing w:line="240" w:lineRule="atLeast"/>
        <w:jc w:val="center"/>
        <w:outlineLvl w:val="0"/>
      </w:pPr>
      <w:r>
        <w:t>Расчеты по выданным авансам</w:t>
      </w:r>
    </w:p>
    <w:p w:rsidR="00502C51" w:rsidRDefault="00502C51" w:rsidP="00502C51">
      <w:pPr>
        <w:pStyle w:val="ConsPlusNormal"/>
        <w:spacing w:line="240" w:lineRule="atLeast"/>
        <w:ind w:firstLine="540"/>
        <w:jc w:val="both"/>
      </w:pPr>
      <w:proofErr w:type="gramStart"/>
      <w:r>
        <w:t xml:space="preserve">Согласно поправкам аналитический учет по счету 206 00 "Расчеты по выданным авансам" вести в разрезе получателей авансовых выплат (сотрудников, контрагентов), </w:t>
      </w:r>
      <w:r>
        <w:lastRenderedPageBreak/>
        <w:t>идентификационных номеров расчетов по выплатам (учетных номеров денежных обязательств) с указанием при учете расчетов по целевым выплатам (по счетам 0206 40 000 "Расчеты по авансовым безвозмездным перечислениям текущего характера" и 0 206 80 000 "Расчеты по авансовым безвозмездным перечислениям капитального</w:t>
      </w:r>
      <w:proofErr w:type="gramEnd"/>
      <w:r>
        <w:t xml:space="preserve"> характера организациям") дополнительного аналитического признака, идентифицирующего целевое назначение средств, предоставляемых с условиями при передаче активов (кодов целей), правовых оснований предоставления авансовых выплат (по необходимости) </w:t>
      </w:r>
      <w:r w:rsidRPr="00502C51">
        <w:t>(</w:t>
      </w:r>
      <w:hyperlink r:id="rId19" w:history="1">
        <w:r w:rsidRPr="00502C51">
          <w:t>п. 205</w:t>
        </w:r>
      </w:hyperlink>
      <w:r>
        <w:t xml:space="preserve"> Инструкции N 157н в новой редакции).</w:t>
      </w:r>
    </w:p>
    <w:p w:rsidR="00502C51" w:rsidRDefault="00502C51" w:rsidP="00502C51">
      <w:pPr>
        <w:pStyle w:val="ConsPlusNormal"/>
        <w:spacing w:line="240" w:lineRule="atLeast"/>
        <w:jc w:val="both"/>
      </w:pPr>
    </w:p>
    <w:p w:rsidR="00502C51" w:rsidRDefault="00502C51" w:rsidP="00502C51">
      <w:pPr>
        <w:pStyle w:val="ConsPlusNormal"/>
        <w:spacing w:line="240" w:lineRule="atLeast"/>
        <w:jc w:val="center"/>
        <w:outlineLvl w:val="0"/>
      </w:pPr>
      <w:r>
        <w:t>Расчеты с прочими кредиторами</w:t>
      </w:r>
    </w:p>
    <w:p w:rsidR="00502C51" w:rsidRDefault="00502C51" w:rsidP="00502C51">
      <w:pPr>
        <w:pStyle w:val="ConsPlusNormal"/>
        <w:spacing w:line="240" w:lineRule="atLeast"/>
        <w:ind w:firstLine="540"/>
        <w:jc w:val="both"/>
      </w:pPr>
      <w:r>
        <w:t xml:space="preserve">Уточнять особенности отражения учреждением исправительных бухгалтерских записей по ошибкам прошлых лет на счете 304 06 "Расчеты с прочими кредиторами" </w:t>
      </w:r>
      <w:r w:rsidRPr="00502C51">
        <w:t>(</w:t>
      </w:r>
      <w:hyperlink r:id="rId20" w:history="1">
        <w:r w:rsidRPr="00502C51">
          <w:t>п. 281</w:t>
        </w:r>
      </w:hyperlink>
      <w:r>
        <w:t xml:space="preserve"> Инструкции N 157н в новой редакции).</w:t>
      </w:r>
    </w:p>
    <w:p w:rsidR="00502C51" w:rsidRDefault="00502C51" w:rsidP="00502C51">
      <w:pPr>
        <w:pStyle w:val="ConsPlusNormal"/>
        <w:spacing w:line="240" w:lineRule="atLeast"/>
        <w:ind w:firstLine="540"/>
        <w:jc w:val="both"/>
      </w:pPr>
      <w:r>
        <w:t>Ввести новые аналитические счета:</w:t>
      </w:r>
    </w:p>
    <w:p w:rsidR="00502C51" w:rsidRDefault="00502C51" w:rsidP="00502C51">
      <w:pPr>
        <w:pStyle w:val="ConsPlusNormal"/>
        <w:spacing w:line="240" w:lineRule="atLeast"/>
        <w:ind w:firstLine="540"/>
        <w:jc w:val="both"/>
      </w:pPr>
      <w:proofErr w:type="gramStart"/>
      <w:r>
        <w:t>- счет 304 66 "Иные расчеты года, предшествующего отчетному, выявленные по контрольным мероприятиям", который применяется в части бухгалтерских записей по исправлению согласно предписаниям и (или) представлениям органов государственного (муниципального) финансового контроля ошибок года, предшествующего году их исправления, выявленных в ходе проведения контрольных мероприятий органом, уполномоченным составлять протоколы об административных правонарушениях за нарушение требований к бюджетному (бухгалтерскому) учету, в том числе к</w:t>
      </w:r>
      <w:proofErr w:type="gramEnd"/>
      <w:r>
        <w:t xml:space="preserve"> </w:t>
      </w:r>
      <w:proofErr w:type="gramStart"/>
      <w:r>
        <w:t>составлению, представлению бюджетной, бухгалтерской (финансовой) отчетности (далее - контрольные мероприятия), не корректирующих показатели на счетах финансового результата;</w:t>
      </w:r>
      <w:proofErr w:type="gramEnd"/>
    </w:p>
    <w:p w:rsidR="00502C51" w:rsidRDefault="00502C51" w:rsidP="00502C51">
      <w:pPr>
        <w:pStyle w:val="ConsPlusNormal"/>
        <w:spacing w:line="240" w:lineRule="atLeast"/>
        <w:ind w:firstLine="540"/>
        <w:jc w:val="both"/>
      </w:pPr>
      <w:proofErr w:type="gramStart"/>
      <w:r>
        <w:t>- счет 304 76 "Иные расчеты прошлых лет, выявленные по контрольным мероприятиям", который применяется в части бухгалтерских записей по исправлению согласно предписаниям и (или) представлениям органов государственного (муниципального) финансового контроля ошибок, возникших до начала года, предшествующего году их исправления, выявленных в ходе проведения контрольных мероприятий, не корректирующих показатели на счетах финансового результата.</w:t>
      </w:r>
      <w:proofErr w:type="gramEnd"/>
    </w:p>
    <w:p w:rsidR="00502C51" w:rsidRDefault="00502C51" w:rsidP="00502C51">
      <w:pPr>
        <w:pStyle w:val="ConsPlusNormal"/>
        <w:spacing w:line="240" w:lineRule="atLeast"/>
        <w:ind w:firstLine="540"/>
        <w:jc w:val="both"/>
      </w:pPr>
      <w:r>
        <w:t>Также изменить наименования действующих аналитических счетов и дополнить особенности их применения:</w:t>
      </w:r>
    </w:p>
    <w:p w:rsidR="00502C51" w:rsidRDefault="00502C51" w:rsidP="00502C51">
      <w:pPr>
        <w:pStyle w:val="ConsPlusNormal"/>
        <w:spacing w:line="240" w:lineRule="atLeast"/>
        <w:ind w:firstLine="540"/>
        <w:jc w:val="both"/>
      </w:pPr>
      <w:proofErr w:type="gramStart"/>
      <w:r>
        <w:t>- по счету 304 86 "Иные расчеты года, предшествующего отчетному, выявленные в отчетном году" (ранее - "Иные расчеты года, предшествующего отчетному") отражать бухгалтерские записи по исправлению ошибок года, предшествующего году их исправления, не корректирующих показатели на счетах финансового результата и не подлежащих отражению на счете 304 66 "Иные расчеты года, предшествующего отчетному, выявленные по контрольным мероприятиям";</w:t>
      </w:r>
      <w:proofErr w:type="gramEnd"/>
    </w:p>
    <w:p w:rsidR="00502C51" w:rsidRDefault="00502C51" w:rsidP="00502C51">
      <w:pPr>
        <w:pStyle w:val="ConsPlusNormal"/>
        <w:spacing w:line="240" w:lineRule="atLeast"/>
        <w:ind w:firstLine="540"/>
        <w:jc w:val="both"/>
      </w:pPr>
      <w:proofErr w:type="gramStart"/>
      <w:r>
        <w:t>- по счету 304 96 "Иные расчеты прошлых лет, выявленные в отчетном году" (ранее - "Иные расчеты прошлых лет") отражать бухгалтерские записи по исправлению ошибок, возникших до начала года, предшествующего году их исправления, не корректирующих показатели на счетах финансового результата и не подлежащих отражению на счете 304 76 "Иные расчеты прошлых лет, выявленные по контрольным мероприятиям".</w:t>
      </w:r>
      <w:proofErr w:type="gramEnd"/>
    </w:p>
    <w:p w:rsidR="00502C51" w:rsidRPr="00502C51" w:rsidRDefault="00502C51" w:rsidP="00153B36">
      <w:pPr>
        <w:spacing w:line="240" w:lineRule="atLeast"/>
        <w:rPr>
          <w:bCs/>
        </w:rPr>
      </w:pPr>
    </w:p>
    <w:p w:rsidR="00153B36" w:rsidRPr="00C50161" w:rsidRDefault="00502C51" w:rsidP="00153B36">
      <w:pPr>
        <w:spacing w:line="240" w:lineRule="atLeast"/>
        <w:rPr>
          <w:b/>
          <w:bCs/>
        </w:rPr>
      </w:pPr>
      <w:r w:rsidRPr="00C50161">
        <w:rPr>
          <w:b/>
          <w:bCs/>
        </w:rPr>
        <w:t xml:space="preserve">«добавить пп.1.15 </w:t>
      </w:r>
      <w:r w:rsidR="00C50161" w:rsidRPr="00C50161">
        <w:rPr>
          <w:b/>
          <w:bCs/>
        </w:rPr>
        <w:t>«Финансовый результат»:</w:t>
      </w:r>
    </w:p>
    <w:p w:rsidR="00C50161" w:rsidRDefault="00C50161" w:rsidP="00C50161">
      <w:pPr>
        <w:pStyle w:val="ConsPlusNormal"/>
        <w:jc w:val="both"/>
      </w:pPr>
      <w:r>
        <w:t xml:space="preserve">Новым </w:t>
      </w:r>
      <w:hyperlink r:id="rId21" w:history="1">
        <w:r w:rsidRPr="00C50161">
          <w:t>п. 298.1</w:t>
        </w:r>
      </w:hyperlink>
      <w:r>
        <w:t xml:space="preserve"> Инструкции N 157н установлено, на каких счетах и в каких случаях учреждению необходимо отражать исправление ошибок прошлых лет, корректирующих финансовый результат, формируемый по операциям прошлых лет.</w:t>
      </w:r>
    </w:p>
    <w:p w:rsidR="00C50161" w:rsidRDefault="00C50161" w:rsidP="00C501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4"/>
        <w:gridCol w:w="5555"/>
      </w:tblGrid>
      <w:tr w:rsidR="00C50161" w:rsidTr="00285FFA"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1" w:rsidRDefault="00C50161" w:rsidP="00285FFA">
            <w:pPr>
              <w:pStyle w:val="ConsPlusNormal"/>
              <w:jc w:val="center"/>
            </w:pPr>
            <w:r>
              <w:t>Номер и наименование счета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61" w:rsidRDefault="00C50161" w:rsidP="00285FFA">
            <w:pPr>
              <w:pStyle w:val="ConsPlusNormal"/>
              <w:jc w:val="center"/>
            </w:pPr>
            <w:r>
              <w:t>Случаи применения счета</w:t>
            </w:r>
          </w:p>
        </w:tc>
      </w:tr>
      <w:tr w:rsidR="00C50161" w:rsidTr="00285FFA"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 xml:space="preserve">401 16 "Доходы финансового года, предшествующего </w:t>
            </w:r>
            <w:r>
              <w:lastRenderedPageBreak/>
              <w:t>отчетному, выявленные по контрольным мероприятиям", 401 26 "Расходы финансового года, предшествующего отчетному, выявленные по контрольным мероприятиям"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lastRenderedPageBreak/>
              <w:t xml:space="preserve">В части бухгалтерских записей по исправлению согласно предписаниям и (или) представлениям </w:t>
            </w:r>
            <w:r>
              <w:lastRenderedPageBreak/>
              <w:t>органов государственного (муниципального) финансового контроля ошибок года, предшествующего году их исправления, выявленных в ходе проведения контрольных мероприятий, корректирующих показатели доходов (расходов) прошлого года</w:t>
            </w:r>
          </w:p>
        </w:tc>
      </w:tr>
      <w:tr w:rsidR="00C50161" w:rsidTr="00285FFA"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lastRenderedPageBreak/>
              <w:t>401 17 "Доходы прошлых финансовых лет, выявленные по контрольным мероприятиям", 401 27 "Расходы прошлых финансовых лет, выявленные по контрольным мероприятиям"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>В части бухгалтерских записей по исправлению согласно предписаниям и (или) представлениям органов государственного (муниципального) финансового контроля ошибок, возникших до начала года, предшествующего году их исправления, выявленных в ходе проведения контрольных мероприятий, корректирующих показатели доходов (расходов) прошлых лет</w:t>
            </w:r>
          </w:p>
        </w:tc>
      </w:tr>
      <w:tr w:rsidR="00C50161" w:rsidTr="00285FFA"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proofErr w:type="gramStart"/>
            <w:r>
              <w:t>401 18 "Доходы финансового года, предшествующего отчетному, выявленные в отчетном году", 401 28 "Расходы финансового года, предшествующего отчетному, выявленные в отчетном году"</w:t>
            </w:r>
            <w:proofErr w:type="gramEnd"/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proofErr w:type="gramStart"/>
            <w:r>
              <w:t>В части бухгалтерских записей по исправлению ошибок года, предшествующего году их исправления, корректирующих показатели доходов (расходов) прошлого года и не подлежащих отражению на соответствующих счетах аналитического учета счетов 401 16 "Доходы финансового года, предшествующего отчетному, выявленные по контрольным мероприятиям", 401 26 "Расходы финансового года, предшествующего отчетному, выявленные по контрольным мероприятиям"</w:t>
            </w:r>
            <w:proofErr w:type="gramEnd"/>
          </w:p>
        </w:tc>
      </w:tr>
      <w:tr w:rsidR="00C50161" w:rsidTr="00285FFA"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>401 19 "Доходы прошлых финансовых лет, выявленные в отчетном году", 401 29 "Расходы прошлых финансовых лет, выявленные в отчетном году"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proofErr w:type="gramStart"/>
            <w:r>
              <w:t>В части отражения бухгалтерских записей по ошибкам прошлых лет, возникшим до начала года, предшествующего году их исправления, корректирующих показатель доходов (расходов) прошлых лет и не подлежащих отражению на соответствующих счетах аналитического учета счетов 401 17 "Доходы прошлых финансовых лет, выявленные по контрольным мероприятиям", 401 27 "Расходы прошлых финансовых лет, выявленные по контрольным мероприятиям"</w:t>
            </w:r>
            <w:proofErr w:type="gramEnd"/>
          </w:p>
        </w:tc>
      </w:tr>
    </w:tbl>
    <w:p w:rsidR="00C50161" w:rsidRPr="00C50161" w:rsidRDefault="00C50161" w:rsidP="00153B36">
      <w:pPr>
        <w:spacing w:line="240" w:lineRule="atLeast"/>
        <w:rPr>
          <w:b/>
          <w:bCs/>
        </w:rPr>
      </w:pPr>
    </w:p>
    <w:p w:rsidR="00C50161" w:rsidRPr="00C50161" w:rsidRDefault="00C50161" w:rsidP="00C50161">
      <w:pPr>
        <w:pStyle w:val="ConsPlusNormal"/>
        <w:outlineLvl w:val="0"/>
        <w:rPr>
          <w:b/>
        </w:rPr>
      </w:pPr>
      <w:r w:rsidRPr="00C50161">
        <w:rPr>
          <w:b/>
          <w:bCs/>
        </w:rPr>
        <w:t>«добавить пп.1.16 «</w:t>
      </w:r>
      <w:r w:rsidRPr="00C50161">
        <w:rPr>
          <w:b/>
        </w:rPr>
        <w:t>Доходы будущих периодов»</w:t>
      </w:r>
    </w:p>
    <w:p w:rsidR="00C50161" w:rsidRDefault="00C50161" w:rsidP="00C50161">
      <w:pPr>
        <w:pStyle w:val="ConsPlusNormal"/>
        <w:jc w:val="both"/>
      </w:pPr>
      <w:r>
        <w:t xml:space="preserve">На счете 401 40 "Доходы будущих периодов" учитываются доходы, начисленные (полученные) в отчетном периоде, но относящиеся к будущим отчетным периодам, с учетом положений </w:t>
      </w:r>
      <w:hyperlink r:id="rId22" w:history="1">
        <w:r w:rsidRPr="00C50161">
          <w:t>СГС</w:t>
        </w:r>
      </w:hyperlink>
      <w:r w:rsidRPr="00C50161">
        <w:t xml:space="preserve"> </w:t>
      </w:r>
      <w:r>
        <w:t>"Доходы".</w:t>
      </w:r>
    </w:p>
    <w:p w:rsidR="00C50161" w:rsidRDefault="00C50161" w:rsidP="00C50161">
      <w:pPr>
        <w:pStyle w:val="ConsPlusNormal"/>
        <w:jc w:val="both"/>
      </w:pPr>
      <w:r>
        <w:t>Поправки уточняют, что бухгалтерские записи по учету доходов будущих периодов отражаются по соответствующим счетам аналитического учета счета:</w:t>
      </w:r>
    </w:p>
    <w:p w:rsidR="00C50161" w:rsidRDefault="00C50161" w:rsidP="00C50161">
      <w:pPr>
        <w:pStyle w:val="ConsPlusNormal"/>
        <w:spacing w:before="240"/>
        <w:ind w:firstLine="540"/>
        <w:jc w:val="both"/>
      </w:pPr>
      <w:r>
        <w:t>- 401 41 "Доходы будущих периодов к признанию в текущем году";</w:t>
      </w:r>
    </w:p>
    <w:p w:rsidR="00C50161" w:rsidRDefault="00C50161" w:rsidP="00C50161">
      <w:pPr>
        <w:pStyle w:val="ConsPlusNormal"/>
        <w:spacing w:before="240"/>
        <w:ind w:firstLine="540"/>
        <w:jc w:val="both"/>
      </w:pPr>
      <w:r>
        <w:t xml:space="preserve">- 401 49 "Доходы будущих периодов к признанию </w:t>
      </w:r>
      <w:proofErr w:type="gramStart"/>
      <w:r>
        <w:t>в</w:t>
      </w:r>
      <w:proofErr w:type="gramEnd"/>
      <w:r>
        <w:t xml:space="preserve"> очередные года".</w:t>
      </w:r>
    </w:p>
    <w:p w:rsidR="00C50161" w:rsidRDefault="00C50161" w:rsidP="00C50161">
      <w:pPr>
        <w:pStyle w:val="ConsPlusNormal"/>
        <w:spacing w:line="240" w:lineRule="atLeast"/>
        <w:ind w:firstLine="539"/>
        <w:jc w:val="both"/>
      </w:pPr>
      <w:r>
        <w:t xml:space="preserve">Указанные счета применяются в соответствии с положениями учетной политики и требований по раскрытию в бухгалтерской (финансовой) отчетности взаимосвязанных показателей, подлежащих исключению при формировании консолидированной бухгалтерской </w:t>
      </w:r>
      <w:r>
        <w:lastRenderedPageBreak/>
        <w:t>(финансовой) отчетности.</w:t>
      </w:r>
    </w:p>
    <w:p w:rsidR="00C50161" w:rsidRDefault="00C50161" w:rsidP="00C50161">
      <w:pPr>
        <w:pStyle w:val="ConsPlusNormal"/>
        <w:spacing w:line="240" w:lineRule="atLeast"/>
        <w:ind w:firstLine="539"/>
        <w:jc w:val="both"/>
      </w:pPr>
      <w:proofErr w:type="gramStart"/>
      <w:r>
        <w:t>Учет доходов будущих периодов ведется по видам доходов (поступлений), предусмотренных бюджетной сметой (планом финансово-хозяйственной деятельности) учреждения, в разрезе контрагентов, правовых оснований (договоров (соглашений), протоколов об административных правонарушениях, постановлений по делам об административных правонарушениях, определений арбитражного суда о принятии искового заявления к производству арбитражного суда и т.д.), а также в части доходов будущих периодов, ожидаемых в иностранной валюте, - по видам</w:t>
      </w:r>
      <w:proofErr w:type="gramEnd"/>
      <w:r>
        <w:t xml:space="preserve"> валют.</w:t>
      </w:r>
    </w:p>
    <w:p w:rsidR="00C50161" w:rsidRDefault="00C50161" w:rsidP="00C50161">
      <w:pPr>
        <w:pStyle w:val="ConsPlusNormal"/>
        <w:jc w:val="both"/>
      </w:pPr>
    </w:p>
    <w:p w:rsidR="00C50161" w:rsidRDefault="00C50161" w:rsidP="00C50161">
      <w:pPr>
        <w:pStyle w:val="ConsPlusNormal"/>
        <w:jc w:val="center"/>
        <w:outlineLvl w:val="0"/>
      </w:pPr>
      <w:r>
        <w:t>ЛБО и обязательства</w:t>
      </w:r>
    </w:p>
    <w:p w:rsidR="00C50161" w:rsidRDefault="00C50161" w:rsidP="00C50161">
      <w:pPr>
        <w:pStyle w:val="ConsPlusNormal"/>
        <w:jc w:val="both"/>
      </w:pPr>
      <w:r>
        <w:t>В части применения счетов по учету ЛБО аналитический учет по счетам 0 501 04 000 "Переданные лимиты бюджетных обязательств", 0 501 05 000 "Полученные лимиты бюджетных обязательств" ведется с применением дополнительной аналитики в разрезе контрагентов (участников бюджетного процесса) (</w:t>
      </w:r>
      <w:hyperlink r:id="rId23" w:history="1">
        <w:r w:rsidRPr="00C50161">
          <w:t>п. 317</w:t>
        </w:r>
      </w:hyperlink>
      <w:r>
        <w:t xml:space="preserve"> Инструкции N 157н в новой редакции)</w:t>
      </w:r>
      <w:proofErr w:type="gramStart"/>
      <w:r>
        <w:t>.Д</w:t>
      </w:r>
      <w:proofErr w:type="gramEnd"/>
      <w:r>
        <w:t xml:space="preserve">ля учета обязательств исключены </w:t>
      </w:r>
      <w:proofErr w:type="spellStart"/>
      <w:r>
        <w:t>группировочные</w:t>
      </w:r>
      <w:proofErr w:type="spellEnd"/>
      <w:r>
        <w:t xml:space="preserve"> счета 502 03 "Принятые авансовые денежные обязательства", 502 04 "Авансовые денежные обязательства к исполнению" (</w:t>
      </w:r>
      <w:hyperlink r:id="rId24" w:history="1">
        <w:r>
          <w:rPr>
            <w:color w:val="0000FF"/>
          </w:rPr>
          <w:t>п. 319</w:t>
        </w:r>
      </w:hyperlink>
      <w:r>
        <w:t xml:space="preserve"> Инструкции N 157н в новой редакции).</w:t>
      </w:r>
    </w:p>
    <w:p w:rsidR="00C50161" w:rsidRDefault="00C50161" w:rsidP="00C50161">
      <w:pPr>
        <w:pStyle w:val="ConsPlusNormal"/>
        <w:jc w:val="both"/>
      </w:pPr>
      <w:r>
        <w:t>Также уточнены особенности аналитического учета следующих счетов.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5102"/>
      </w:tblGrid>
      <w:tr w:rsidR="00C50161" w:rsidTr="00285FFA"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1" w:rsidRDefault="00C50161" w:rsidP="00285FFA">
            <w:pPr>
              <w:pStyle w:val="ConsPlusNormal"/>
              <w:jc w:val="center"/>
            </w:pPr>
            <w:r>
              <w:t>Номер и наименование счета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61" w:rsidRDefault="00C50161" w:rsidP="00285FFA">
            <w:pPr>
              <w:pStyle w:val="ConsPlusNormal"/>
              <w:jc w:val="center"/>
            </w:pPr>
            <w:r>
              <w:t>Особенности учета на счете</w:t>
            </w:r>
          </w:p>
        </w:tc>
      </w:tr>
      <w:tr w:rsidR="00C50161" w:rsidTr="00285FFA"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>0 502 01 000 "Принятые обязательства"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>Ведется в разрезе учетных номеров бюджетного обязательства</w:t>
            </w:r>
          </w:p>
        </w:tc>
      </w:tr>
      <w:tr w:rsidR="00C50161" w:rsidTr="00285FFA"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>0 502 02 000 "Принятые денежные обязательства"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>Ведется в разрезе учетных номеров денежных обязательств, видов денежных обязательств (денежные обязательства на аванс, денежные обязательства за поставленные товары, выполненные работы, оказанные услуги)</w:t>
            </w:r>
          </w:p>
        </w:tc>
      </w:tr>
      <w:tr w:rsidR="00C50161" w:rsidTr="00285FFA"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>0 502 07 000 "Принимаемые обязательства"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 xml:space="preserve">Ведется в разрезе учетных номеров закупок (идентификационных номеров закупки), ОФК, </w:t>
            </w:r>
            <w:proofErr w:type="gramStart"/>
            <w:r>
              <w:t>осуществляющими</w:t>
            </w:r>
            <w:proofErr w:type="gramEnd"/>
            <w:r>
              <w:t xml:space="preserve"> казначейское обслуживание исполнения федерального бюджета, - учетных номеров бюджетных обязательств</w:t>
            </w:r>
          </w:p>
        </w:tc>
      </w:tr>
      <w:tr w:rsidR="00C50161" w:rsidTr="00285FFA"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>0 502 X9 "Отложенные обязательства"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61" w:rsidRDefault="00C50161" w:rsidP="00285FFA">
            <w:pPr>
              <w:pStyle w:val="ConsPlusNormal"/>
              <w:jc w:val="both"/>
            </w:pPr>
            <w:r>
              <w:t>Ведется в разрезе видов отложенных обязательств, номеров отложенных обязательств (при наличии), контрагентов (при наличии), правовых оснований (при наличии)</w:t>
            </w:r>
          </w:p>
        </w:tc>
      </w:tr>
    </w:tbl>
    <w:p w:rsidR="00153B36" w:rsidRDefault="00153B36" w:rsidP="00153B36">
      <w:pPr>
        <w:spacing w:line="240" w:lineRule="atLeast"/>
        <w:rPr>
          <w:bCs/>
        </w:rPr>
      </w:pPr>
    </w:p>
    <w:p w:rsidR="00C50161" w:rsidRPr="00C50161" w:rsidRDefault="00C50161" w:rsidP="00153B36">
      <w:pPr>
        <w:spacing w:line="240" w:lineRule="atLeast"/>
        <w:rPr>
          <w:b/>
          <w:bCs/>
        </w:rPr>
      </w:pPr>
      <w:r w:rsidRPr="00C50161">
        <w:rPr>
          <w:b/>
          <w:bCs/>
        </w:rPr>
        <w:t>«в пп.1.11 «</w:t>
      </w:r>
      <w:proofErr w:type="spellStart"/>
      <w:r w:rsidRPr="00C50161">
        <w:rPr>
          <w:b/>
          <w:bCs/>
        </w:rPr>
        <w:t>Забалансовый</w:t>
      </w:r>
      <w:proofErr w:type="spellEnd"/>
      <w:r w:rsidRPr="00C50161">
        <w:rPr>
          <w:b/>
          <w:bCs/>
        </w:rPr>
        <w:t xml:space="preserve"> учет» добавить:</w:t>
      </w:r>
    </w:p>
    <w:p w:rsidR="00C50161" w:rsidRDefault="00C50161" w:rsidP="00C50161">
      <w:pPr>
        <w:pStyle w:val="ConsPlusNormal"/>
        <w:jc w:val="both"/>
      </w:pPr>
      <w:r>
        <w:t xml:space="preserve">Внести уточнения по учету на </w:t>
      </w:r>
      <w:proofErr w:type="spellStart"/>
      <w:r>
        <w:t>забалансовом</w:t>
      </w:r>
      <w:proofErr w:type="spellEnd"/>
      <w:r>
        <w:t xml:space="preserve"> счете 07 наград, призов, кубков и ценных подарков, сувениров. В частности, уточнен список особенностей применения счета:</w:t>
      </w:r>
    </w:p>
    <w:p w:rsidR="00C50161" w:rsidRDefault="00C50161" w:rsidP="00C50161">
      <w:pPr>
        <w:pStyle w:val="ConsPlusNormal"/>
        <w:jc w:val="both"/>
      </w:pPr>
      <w:r>
        <w:t xml:space="preserve">1) ценные подарки (сувениры) учитываются на </w:t>
      </w:r>
      <w:proofErr w:type="spellStart"/>
      <w:r>
        <w:t>забалансовом</w:t>
      </w:r>
      <w:proofErr w:type="spellEnd"/>
      <w:r>
        <w:t xml:space="preserve"> счете с момента выдачи их со склада (с момента приобретения в случае, когда материальные ценности не принимаются на склад) и до момента вручения;</w:t>
      </w:r>
    </w:p>
    <w:p w:rsidR="00F957F9" w:rsidRDefault="00C50161" w:rsidP="00837A63">
      <w:pPr>
        <w:pStyle w:val="ConsPlusNormal"/>
        <w:jc w:val="both"/>
      </w:pPr>
      <w:r>
        <w:t xml:space="preserve">2) при одновременном представлении лицами, ответственными за приобретение и вручение (дарение) ценных подарков (сувениров), документов, подтверждающих их приобретение и вручение, информация о таких материальных ценностях на </w:t>
      </w:r>
      <w:proofErr w:type="spellStart"/>
      <w:r>
        <w:t>забалансовом</w:t>
      </w:r>
      <w:proofErr w:type="spellEnd"/>
      <w:r>
        <w:t xml:space="preserve"> счете не отражается (расходы текущего финансового периода признаются в сумме стоимости ценных подарков (сувениров)).</w:t>
      </w:r>
    </w:p>
    <w:p w:rsidR="00837A63" w:rsidRPr="00837A63" w:rsidRDefault="00837A63" w:rsidP="00837A63">
      <w:pPr>
        <w:pStyle w:val="ConsPlusNormal"/>
        <w:jc w:val="both"/>
      </w:pPr>
    </w:p>
    <w:p w:rsidR="00837A63" w:rsidRDefault="00837A63" w:rsidP="00837A63">
      <w:pPr>
        <w:widowControl w:val="0"/>
        <w:autoSpaceDE w:val="0"/>
        <w:autoSpaceDN w:val="0"/>
        <w:adjustRightInd w:val="0"/>
        <w:spacing w:after="150"/>
        <w:jc w:val="both"/>
        <w:rPr>
          <w:bCs/>
          <w:iCs/>
        </w:rPr>
      </w:pPr>
      <w:r w:rsidRPr="00837A63">
        <w:rPr>
          <w:bCs/>
          <w:iCs/>
        </w:rPr>
        <w:lastRenderedPageBreak/>
        <w:t>В раздел</w:t>
      </w:r>
      <w:r>
        <w:rPr>
          <w:b/>
          <w:bCs/>
          <w:iCs/>
        </w:rPr>
        <w:t xml:space="preserve"> 2. М</w:t>
      </w:r>
      <w:r w:rsidRPr="00B4084B">
        <w:rPr>
          <w:b/>
          <w:bCs/>
          <w:iCs/>
        </w:rPr>
        <w:t>ЕТОДОЛОГИЧЕСКИЕ АСПЕКТЫ УЧЕТНОЙ ПОЛИТИКИ В ЧАСТИ ВЕДЕНИЯ НАЛОГОВОГО УЧЕТА</w:t>
      </w:r>
      <w:r>
        <w:rPr>
          <w:b/>
          <w:bCs/>
          <w:iCs/>
        </w:rPr>
        <w:t xml:space="preserve"> </w:t>
      </w:r>
      <w:r w:rsidRPr="00837A63">
        <w:rPr>
          <w:bCs/>
          <w:iCs/>
        </w:rPr>
        <w:t>добавить:</w:t>
      </w:r>
    </w:p>
    <w:p w:rsidR="00837A63" w:rsidRDefault="00837A63" w:rsidP="00837A63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b/>
          <w:bCs/>
          <w:iCs/>
        </w:rPr>
        <w:t>«в п.4 «</w:t>
      </w:r>
      <w:r w:rsidRPr="007922CF">
        <w:rPr>
          <w:b/>
          <w:bCs/>
        </w:rPr>
        <w:t>Налог на доходы физических лиц (НДФЛ)</w:t>
      </w:r>
      <w:r>
        <w:rPr>
          <w:b/>
          <w:bCs/>
        </w:rPr>
        <w:t xml:space="preserve">» </w:t>
      </w:r>
      <w:r w:rsidRPr="00837A63">
        <w:rPr>
          <w:bCs/>
        </w:rPr>
        <w:t>добавить</w:t>
      </w:r>
    </w:p>
    <w:p w:rsidR="00837A63" w:rsidRDefault="00837A63" w:rsidP="00837A6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373A3C"/>
          <w:sz w:val="23"/>
          <w:szCs w:val="23"/>
        </w:rPr>
      </w:pPr>
      <w:r>
        <w:rPr>
          <w:bCs/>
        </w:rPr>
        <w:t xml:space="preserve">4.3 </w:t>
      </w:r>
      <w:r w:rsidRPr="00837A63">
        <w:rPr>
          <w:bCs/>
        </w:rPr>
        <w:t>с</w:t>
      </w:r>
      <w:r w:rsidRPr="00837A63">
        <w:rPr>
          <w:color w:val="373A3C"/>
          <w:sz w:val="23"/>
          <w:szCs w:val="23"/>
        </w:rPr>
        <w:t xml:space="preserve"> 1 января 2021 года подлежат налогообложению доходы физических лиц с процентов по вкладам в банках. Облагаться налогом (по ставке 13%) будет только размер годового дохода, превышающий 60 тыс. рублей. При расчете процентного дохода не будет учитываться доход по рублевым счетам, открытым менее чем под 1%. Таким образом, из расчета будут исключаться </w:t>
      </w:r>
      <w:proofErr w:type="spellStart"/>
      <w:r w:rsidRPr="00837A63">
        <w:rPr>
          <w:color w:val="373A3C"/>
          <w:sz w:val="23"/>
          <w:szCs w:val="23"/>
        </w:rPr>
        <w:t>зарплатные</w:t>
      </w:r>
      <w:proofErr w:type="spellEnd"/>
      <w:r w:rsidRPr="00837A63">
        <w:rPr>
          <w:color w:val="373A3C"/>
          <w:sz w:val="23"/>
          <w:szCs w:val="23"/>
        </w:rPr>
        <w:t xml:space="preserve"> счета, ставка по которым не превышает 1%. Налог подлежит уплате по итогам 2021 года, налоговые уведомления придут в 2022 году со сроком уплаты до 1 декабря. Зачисляться в бюджеты платежи будут по действующим нормативам распределения налога на доходы физических лиц.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t>Нормативы распределения налога, установленные Бюджетным кодексом Российской Федерации и региональным законодательством, не меняются.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t xml:space="preserve">Плановая сумма налога на доходы физических лиц определяется на базе его оценки за текущий год с применением </w:t>
      </w:r>
      <w:proofErr w:type="gramStart"/>
      <w:r w:rsidRPr="007F301D">
        <w:rPr>
          <w:color w:val="373A3C"/>
        </w:rPr>
        <w:t>темпов роста фонда оплаты труда сформированных</w:t>
      </w:r>
      <w:proofErr w:type="gramEnd"/>
      <w:r w:rsidRPr="007F301D">
        <w:rPr>
          <w:color w:val="373A3C"/>
        </w:rPr>
        <w:t xml:space="preserve"> управлением экономического развития администрации района на очередной год и плановый период.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t>Для иностранных граждан, осуществляющих трудовую деятельность по найму, в расчетах учитывается увеличение федерального коэффициента, отражающего особенности рынка труда, который применяется при расчете стоимости патента (ежегодное увеличение на темп инфляции).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t xml:space="preserve">Оценка текущего года определяется из поступлений за 7 и 8 месяцев с учетом доли указанных периодов к годовым фактическим поступлениям </w:t>
      </w:r>
      <w:proofErr w:type="gramStart"/>
      <w:r w:rsidRPr="007F301D">
        <w:rPr>
          <w:color w:val="373A3C"/>
        </w:rPr>
        <w:t>за</w:t>
      </w:r>
      <w:proofErr w:type="gramEnd"/>
      <w:r w:rsidRPr="007F301D">
        <w:rPr>
          <w:color w:val="373A3C"/>
        </w:rPr>
        <w:t xml:space="preserve"> предыдущие 2-3 года. Оценка корректируется на подтверждаемые поступления разового характера.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t>Для прогнозирования НДФЛ используются также данные налоговой отчетности № 5 – НДФЛ о суммах доходов, принимаемых в качестве налоговой базы по налогу на доходы физических лиц и произведенных стандартных и имущественных вычетов.</w:t>
      </w:r>
    </w:p>
    <w:p w:rsidR="007F301D" w:rsidRPr="00837A63" w:rsidRDefault="007F301D" w:rsidP="00837A63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iCs/>
        </w:rPr>
      </w:pPr>
    </w:p>
    <w:p w:rsidR="00837A63" w:rsidRDefault="00837A63" w:rsidP="00837A63">
      <w:pPr>
        <w:spacing w:line="240" w:lineRule="atLeast"/>
        <w:ind w:right="-448"/>
        <w:rPr>
          <w:color w:val="373A3C"/>
        </w:rPr>
      </w:pPr>
      <w:r w:rsidRPr="00837A63">
        <w:rPr>
          <w:color w:val="373A3C"/>
        </w:rPr>
        <w:t>С 1 января 2021 года будет отменен единый налог на вмененный доход. До конца года хозяйствующие субъекты должны будут выбрать другие налоговые системы (патентную, упрощенную или общую). При этом в 2022 году в местные бюджеты еще поступит квартальный платеж налога за 4 квартал 2020 года.</w:t>
      </w:r>
    </w:p>
    <w:p w:rsidR="00837A63" w:rsidRPr="00837A63" w:rsidRDefault="00837A63" w:rsidP="00837A63">
      <w:pPr>
        <w:spacing w:line="240" w:lineRule="atLeast"/>
        <w:ind w:right="-448"/>
        <w:rPr>
          <w:color w:val="373A3C"/>
        </w:rPr>
      </w:pPr>
      <w:r w:rsidRPr="00837A63">
        <w:rPr>
          <w:color w:val="373A3C"/>
        </w:rPr>
        <w:t xml:space="preserve">В целях обеспечения </w:t>
      </w:r>
      <w:proofErr w:type="gramStart"/>
      <w:r w:rsidRPr="00837A63">
        <w:rPr>
          <w:color w:val="373A3C"/>
        </w:rPr>
        <w:t>перехода</w:t>
      </w:r>
      <w:proofErr w:type="gramEnd"/>
      <w:r w:rsidRPr="00837A63">
        <w:rPr>
          <w:color w:val="373A3C"/>
        </w:rPr>
        <w:t xml:space="preserve"> на патентную систему максимального количества хозяйствующих субъектов, для минимизации потерь местных бюджетов, в текущем году будет актуализирована патентная система налогообложения. В рамках переданных федеральными законодателями полномочий размер налога на патенте будет приближен к «</w:t>
      </w:r>
      <w:proofErr w:type="spellStart"/>
      <w:r w:rsidRPr="00837A63">
        <w:rPr>
          <w:color w:val="373A3C"/>
        </w:rPr>
        <w:t>вмененке</w:t>
      </w:r>
      <w:proofErr w:type="spellEnd"/>
      <w:r w:rsidRPr="00837A63">
        <w:rPr>
          <w:color w:val="373A3C"/>
        </w:rPr>
        <w:t>». При этом будут учтены особенности ведения деятельности в зависимости от численности населенного пункта, количества наемных работников и другие факторы.</w:t>
      </w:r>
    </w:p>
    <w:p w:rsidR="00837A63" w:rsidRPr="00837A63" w:rsidRDefault="00837A63" w:rsidP="00837A63">
      <w:pPr>
        <w:spacing w:line="240" w:lineRule="atLeast"/>
        <w:ind w:right="-448"/>
        <w:rPr>
          <w:color w:val="373A3C"/>
        </w:rPr>
      </w:pPr>
      <w:r w:rsidRPr="00837A63">
        <w:rPr>
          <w:color w:val="373A3C"/>
        </w:rPr>
        <w:t>Перечень видов деятельности, на которых может применяться патентная система налогообложения, планируется значительно расширить.</w:t>
      </w:r>
    </w:p>
    <w:p w:rsidR="00837A63" w:rsidRPr="00837A63" w:rsidRDefault="00837A63" w:rsidP="00837A63">
      <w:pPr>
        <w:spacing w:line="240" w:lineRule="atLeast"/>
        <w:ind w:right="-448"/>
        <w:rPr>
          <w:color w:val="373A3C"/>
        </w:rPr>
      </w:pPr>
      <w:r w:rsidRPr="00837A63">
        <w:rPr>
          <w:color w:val="373A3C"/>
        </w:rPr>
        <w:t>Также на федеральном уровне прорабатывается вопрос продления права установления субъектами РФ «налоговых каникул» для вновь зарегистрированных индивидуальных предпринимателей, применяющих патентную или упрощенную системы налогообложения.</w:t>
      </w:r>
    </w:p>
    <w:p w:rsidR="00837A63" w:rsidRDefault="00837A63" w:rsidP="00837A6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iCs/>
        </w:rPr>
      </w:pPr>
    </w:p>
    <w:p w:rsidR="00837A63" w:rsidRDefault="00837A63" w:rsidP="00837A63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iCs/>
        </w:rPr>
      </w:pPr>
      <w:r>
        <w:rPr>
          <w:b/>
          <w:bCs/>
          <w:iCs/>
        </w:rPr>
        <w:t xml:space="preserve">«в п.8 «Земельный налог» и п.6 «Налог на имущество организаций» </w:t>
      </w:r>
      <w:r>
        <w:rPr>
          <w:bCs/>
          <w:iCs/>
        </w:rPr>
        <w:t>добавить:</w:t>
      </w:r>
    </w:p>
    <w:p w:rsid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t xml:space="preserve">Со следующего года организации не будут представлять в налоговые органы декларации по земельному и транспортному налогам. Налоговые органы сами будут </w:t>
      </w:r>
      <w:proofErr w:type="gramStart"/>
      <w:r w:rsidRPr="007F301D">
        <w:rPr>
          <w:color w:val="373A3C"/>
        </w:rPr>
        <w:t>исчислять</w:t>
      </w:r>
      <w:proofErr w:type="gramEnd"/>
      <w:r w:rsidRPr="007F301D">
        <w:rPr>
          <w:color w:val="373A3C"/>
        </w:rPr>
        <w:t xml:space="preserve"> и направлять организациям подлежащие к уплате суммы имущественных налогов.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t>В 2021 году будет проведена переоценка кадастровой стоимости земель населенных пунктов. Новая оценка будет применяться с 1 января 2022 года. Соответственно, юр</w:t>
      </w:r>
      <w:r>
        <w:rPr>
          <w:color w:val="373A3C"/>
        </w:rPr>
        <w:t xml:space="preserve">идические лица </w:t>
      </w:r>
      <w:r w:rsidRPr="007F301D">
        <w:rPr>
          <w:color w:val="373A3C"/>
        </w:rPr>
        <w:t xml:space="preserve"> будут платить налог от новой стоимости уже в 2022 году, а физ</w:t>
      </w:r>
      <w:r>
        <w:rPr>
          <w:color w:val="373A3C"/>
        </w:rPr>
        <w:t xml:space="preserve">ическим </w:t>
      </w:r>
      <w:r w:rsidRPr="007F301D">
        <w:rPr>
          <w:color w:val="373A3C"/>
        </w:rPr>
        <w:t>лицам налоговый орган исчислит платежи лишь в 2023 году.</w:t>
      </w:r>
    </w:p>
    <w:p w:rsidR="007F301D" w:rsidRPr="007F301D" w:rsidRDefault="007F301D" w:rsidP="007F301D">
      <w:pPr>
        <w:spacing w:after="100" w:afterAutospacing="1"/>
        <w:ind w:right="-450"/>
        <w:rPr>
          <w:color w:val="373A3C"/>
        </w:rPr>
      </w:pPr>
      <w:r w:rsidRPr="007F301D">
        <w:rPr>
          <w:b/>
          <w:bCs/>
          <w:i/>
          <w:iCs/>
          <w:color w:val="373A3C"/>
        </w:rPr>
        <w:t>Налог на имущество физических лиц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lastRenderedPageBreak/>
        <w:t>Прогноз определяется с учетом введения на территории области порядка определения налога на имущество физических лиц от кадастровой стоимости объектов недвижимости и на базе положений главы 32 Налогового кодекса Российской Федерации, а также ставок и льгот, утвержденных органами местного самоуправления.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t xml:space="preserve">Для прогнозирования налога используются начисленные в текущем году суммы платежей от кадастровой стоимости объектов по данным </w:t>
      </w:r>
      <w:r>
        <w:rPr>
          <w:color w:val="373A3C"/>
        </w:rPr>
        <w:t xml:space="preserve">МИ ФНС </w:t>
      </w:r>
      <w:proofErr w:type="gramStart"/>
      <w:r>
        <w:rPr>
          <w:color w:val="373A3C"/>
        </w:rPr>
        <w:t>по Самарской</w:t>
      </w:r>
      <w:r w:rsidRPr="007F301D">
        <w:rPr>
          <w:color w:val="373A3C"/>
        </w:rPr>
        <w:t xml:space="preserve"> области с ежегодным увеличением на каждый планируемый год с учетом погашения реальной к взысканию</w:t>
      </w:r>
      <w:proofErr w:type="gramEnd"/>
      <w:r w:rsidRPr="007F301D">
        <w:rPr>
          <w:color w:val="373A3C"/>
        </w:rPr>
        <w:t xml:space="preserve"> недоимки плательщиков.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b/>
          <w:bCs/>
          <w:i/>
          <w:iCs/>
          <w:color w:val="373A3C"/>
        </w:rPr>
        <w:t>Земельный налог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t>Сумма земельного налога определяется исходя из начислений налога по организациям и физическим лицам в текущем году по данным отчетности ФНС России – форма 5-МН «Отчет о налоговой базе и структуре начислений по местным налогам», установленных ставок налога, наличия реальной к взысканию недоимки плательщиков.</w:t>
      </w:r>
    </w:p>
    <w:p w:rsidR="007F301D" w:rsidRPr="007F301D" w:rsidRDefault="007F301D" w:rsidP="007F301D">
      <w:pPr>
        <w:spacing w:line="240" w:lineRule="atLeast"/>
        <w:ind w:right="-448"/>
        <w:rPr>
          <w:color w:val="373A3C"/>
        </w:rPr>
      </w:pPr>
      <w:r w:rsidRPr="007F301D">
        <w:rPr>
          <w:color w:val="373A3C"/>
        </w:rPr>
        <w:t> За счет введения очередной переоценки кадастрово</w:t>
      </w:r>
      <w:r>
        <w:rPr>
          <w:color w:val="373A3C"/>
        </w:rPr>
        <w:t xml:space="preserve">й стоимости с </w:t>
      </w:r>
      <w:r w:rsidRPr="007F301D">
        <w:rPr>
          <w:color w:val="373A3C"/>
        </w:rPr>
        <w:t>1 января 2022 года – земель населенных пунктов, в расчетах 2022 года учитываются дополнительные поступления земельного налога от юридических лиц, в 2023 году - от физических лиц.</w:t>
      </w:r>
    </w:p>
    <w:p w:rsidR="00837A63" w:rsidRPr="00837A63" w:rsidRDefault="00837A63" w:rsidP="00837A63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iCs/>
        </w:rPr>
      </w:pPr>
    </w:p>
    <w:p w:rsidR="004D3CB8" w:rsidRDefault="004D3CB8" w:rsidP="006C0056"/>
    <w:p w:rsidR="004D3CB8" w:rsidRDefault="004D3CB8" w:rsidP="006C0056"/>
    <w:p w:rsidR="006C0056" w:rsidRPr="00B66450" w:rsidRDefault="006C0056" w:rsidP="006C0056">
      <w:pPr>
        <w:jc w:val="both"/>
      </w:pPr>
      <w:r w:rsidRPr="00B66450">
        <w:t xml:space="preserve">Глава Администрации  </w:t>
      </w:r>
    </w:p>
    <w:p w:rsidR="006C0056" w:rsidRPr="00B66450" w:rsidRDefault="006C0056" w:rsidP="006C0056">
      <w:pPr>
        <w:jc w:val="both"/>
      </w:pPr>
      <w:r w:rsidRPr="00B66450">
        <w:t>сельского поселения  Заволжье                                            Подопригора А.И.</w:t>
      </w:r>
    </w:p>
    <w:p w:rsidR="006C0056" w:rsidRPr="00B66450" w:rsidRDefault="006C0056" w:rsidP="006C0056">
      <w:pPr>
        <w:jc w:val="both"/>
      </w:pPr>
    </w:p>
    <w:p w:rsidR="006C0056" w:rsidRPr="00B66450" w:rsidRDefault="006C0056" w:rsidP="006C0056">
      <w:pPr>
        <w:jc w:val="both"/>
      </w:pPr>
    </w:p>
    <w:p w:rsidR="006C0056" w:rsidRPr="00B66450" w:rsidRDefault="006C0056" w:rsidP="006C0056">
      <w:pPr>
        <w:jc w:val="both"/>
      </w:pPr>
      <w:r w:rsidRPr="00B66450">
        <w:t xml:space="preserve">С распоряжением </w:t>
      </w:r>
      <w:proofErr w:type="gramStart"/>
      <w:r w:rsidRPr="00B66450">
        <w:t>ознакомлена</w:t>
      </w:r>
      <w:proofErr w:type="gramEnd"/>
      <w:r w:rsidRPr="00B66450">
        <w:t>:</w:t>
      </w:r>
    </w:p>
    <w:p w:rsidR="006C0056" w:rsidRPr="00B66450" w:rsidRDefault="006C0056" w:rsidP="006C0056">
      <w:pPr>
        <w:jc w:val="both"/>
        <w:rPr>
          <w:u w:val="single"/>
        </w:rPr>
      </w:pPr>
      <w:r w:rsidRPr="00B66450">
        <w:t xml:space="preserve">главный специалист Тимофеева Е.А.    </w:t>
      </w:r>
      <w:r w:rsidRPr="00B66450">
        <w:softHyphen/>
      </w:r>
      <w:r w:rsidRPr="00B66450">
        <w:softHyphen/>
      </w:r>
      <w:r w:rsidRPr="00B66450">
        <w:softHyphen/>
      </w:r>
      <w:r w:rsidRPr="00B66450">
        <w:softHyphen/>
      </w:r>
      <w:r w:rsidRPr="00B66450">
        <w:softHyphen/>
      </w:r>
      <w:r w:rsidRPr="00B66450">
        <w:softHyphen/>
        <w:t>_____</w:t>
      </w:r>
      <w:r w:rsidRPr="00B66450">
        <w:softHyphen/>
      </w:r>
      <w:r w:rsidRPr="00B66450">
        <w:softHyphen/>
      </w:r>
      <w:r w:rsidRPr="00B66450">
        <w:softHyphen/>
      </w:r>
      <w:r w:rsidRPr="00B66450">
        <w:softHyphen/>
      </w:r>
      <w:r w:rsidRPr="00B66450">
        <w:softHyphen/>
        <w:t xml:space="preserve">____  </w:t>
      </w:r>
      <w:r w:rsidRPr="00B66450">
        <w:rPr>
          <w:u w:val="single"/>
        </w:rPr>
        <w:t>«1</w:t>
      </w:r>
      <w:r w:rsidR="00B66450">
        <w:rPr>
          <w:u w:val="single"/>
        </w:rPr>
        <w:t>4</w:t>
      </w:r>
      <w:r w:rsidRPr="00B66450">
        <w:rPr>
          <w:u w:val="single"/>
        </w:rPr>
        <w:t>» декабря 20</w:t>
      </w:r>
      <w:r w:rsidR="00B66450">
        <w:rPr>
          <w:u w:val="single"/>
        </w:rPr>
        <w:t>20</w:t>
      </w:r>
      <w:r w:rsidRPr="00B66450">
        <w:rPr>
          <w:u w:val="single"/>
        </w:rPr>
        <w:t xml:space="preserve"> г.</w:t>
      </w:r>
    </w:p>
    <w:p w:rsidR="00F24A90" w:rsidRPr="00B66450" w:rsidRDefault="00F24A90"/>
    <w:sectPr w:rsidR="00F24A90" w:rsidRPr="00B66450" w:rsidSect="007F30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56"/>
    <w:rsid w:val="0003093C"/>
    <w:rsid w:val="00153B36"/>
    <w:rsid w:val="001911D2"/>
    <w:rsid w:val="00232F64"/>
    <w:rsid w:val="004D3CB8"/>
    <w:rsid w:val="00502C51"/>
    <w:rsid w:val="00504B09"/>
    <w:rsid w:val="006C0056"/>
    <w:rsid w:val="007F301D"/>
    <w:rsid w:val="00836E5C"/>
    <w:rsid w:val="00837A63"/>
    <w:rsid w:val="00A50449"/>
    <w:rsid w:val="00A609F0"/>
    <w:rsid w:val="00B42B34"/>
    <w:rsid w:val="00B66450"/>
    <w:rsid w:val="00C50161"/>
    <w:rsid w:val="00D32D51"/>
    <w:rsid w:val="00DB15BD"/>
    <w:rsid w:val="00F24A90"/>
    <w:rsid w:val="00F9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419&amp;date=14.12.2020&amp;dst=100012&amp;fld=134" TargetMode="External"/><Relationship Id="rId13" Type="http://schemas.openxmlformats.org/officeDocument/2006/relationships/hyperlink" Target="https://login.consultant.ru/link/?req=doc&amp;base=RZR&amp;n=27261&amp;date=14.12.2020&amp;dst=100221&amp;fld=134" TargetMode="External"/><Relationship Id="rId18" Type="http://schemas.openxmlformats.org/officeDocument/2006/relationships/hyperlink" Target="https://login.consultant.ru/link/?req=doc&amp;base=RZR&amp;n=364484&amp;date=14.12.2020&amp;dst=11145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64484&amp;date=14.12.2020&amp;dst=10828&amp;fld=134" TargetMode="External"/><Relationship Id="rId7" Type="http://schemas.openxmlformats.org/officeDocument/2006/relationships/hyperlink" Target="https://login.consultant.ru/link/?req=doc&amp;base=RZR&amp;n=347882&amp;date=14.12.2020&amp;dst=100011&amp;fld=134" TargetMode="External"/><Relationship Id="rId12" Type="http://schemas.openxmlformats.org/officeDocument/2006/relationships/hyperlink" Target="https://login.consultant.ru/link/?req=doc&amp;base=RZR&amp;n=364484&amp;date=14.12.2020&amp;dst=101011&amp;fld=134" TargetMode="External"/><Relationship Id="rId17" Type="http://schemas.openxmlformats.org/officeDocument/2006/relationships/hyperlink" Target="https://login.consultant.ru/link/?req=doc&amp;base=RZR&amp;n=364484&amp;date=14.12.2020&amp;dst=10685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27261&amp;date=14.12.2020&amp;dst=100182&amp;fld=134" TargetMode="External"/><Relationship Id="rId20" Type="http://schemas.openxmlformats.org/officeDocument/2006/relationships/hyperlink" Target="https://login.consultant.ru/link/?req=doc&amp;base=RZR&amp;n=364484&amp;date=14.12.2020&amp;dst=10787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64484&amp;date=14.12.2020&amp;dst=11124&amp;fld=134" TargetMode="External"/><Relationship Id="rId11" Type="http://schemas.openxmlformats.org/officeDocument/2006/relationships/hyperlink" Target="https://login.consultant.ru/link/?req=doc&amp;base=RZR&amp;n=364484&amp;date=14.12.2020&amp;dst=10666&amp;fld=134" TargetMode="External"/><Relationship Id="rId24" Type="http://schemas.openxmlformats.org/officeDocument/2006/relationships/hyperlink" Target="https://login.consultant.ru/link/?req=doc&amp;base=RZR&amp;n=364484&amp;date=14.12.2020&amp;dst=101806&amp;fld=134" TargetMode="External"/><Relationship Id="rId5" Type="http://schemas.openxmlformats.org/officeDocument/2006/relationships/hyperlink" Target="https://login.consultant.ru/link/?req=doc&amp;base=RZR&amp;n=364484&amp;date=14.12.2020&amp;dst=11101&amp;fld=134" TargetMode="External"/><Relationship Id="rId15" Type="http://schemas.openxmlformats.org/officeDocument/2006/relationships/hyperlink" Target="https://login.consultant.ru/link/?req=doc&amp;base=RZR&amp;n=27261&amp;date=14.12.2020&amp;dst=100135&amp;fld=134" TargetMode="External"/><Relationship Id="rId23" Type="http://schemas.openxmlformats.org/officeDocument/2006/relationships/hyperlink" Target="https://login.consultant.ru/link/?req=doc&amp;base=RZR&amp;n=364484&amp;date=14.12.2020&amp;dst=11208&amp;fld=134" TargetMode="External"/><Relationship Id="rId10" Type="http://schemas.openxmlformats.org/officeDocument/2006/relationships/hyperlink" Target="https://login.consultant.ru/link/?req=doc&amp;base=RZR&amp;n=364484&amp;date=14.12.2020&amp;dst=10665&amp;fld=134" TargetMode="External"/><Relationship Id="rId19" Type="http://schemas.openxmlformats.org/officeDocument/2006/relationships/hyperlink" Target="https://login.consultant.ru/link/?req=doc&amp;base=RZR&amp;n=364484&amp;date=14.12.2020&amp;dst=11150&amp;fld=134" TargetMode="External"/><Relationship Id="rId4" Type="http://schemas.openxmlformats.org/officeDocument/2006/relationships/hyperlink" Target="https://login.consultant.ru/link/?req=doc&amp;base=RZR&amp;n=344744&amp;date=14.12.2020&amp;dst=100011&amp;fld=134" TargetMode="External"/><Relationship Id="rId9" Type="http://schemas.openxmlformats.org/officeDocument/2006/relationships/hyperlink" Target="https://login.consultant.ru/link/?req=doc&amp;base=RZR&amp;n=364484&amp;date=14.12.2020&amp;dst=10659&amp;fld=134" TargetMode="External"/><Relationship Id="rId14" Type="http://schemas.openxmlformats.org/officeDocument/2006/relationships/hyperlink" Target="https://login.consultant.ru/link/?req=doc&amp;base=RZR&amp;n=27261&amp;date=14.12.2020&amp;dst=100091&amp;fld=134" TargetMode="External"/><Relationship Id="rId22" Type="http://schemas.openxmlformats.org/officeDocument/2006/relationships/hyperlink" Target="https://login.consultant.ru/link/?req=doc&amp;base=RZR&amp;n=344165&amp;date=14.12.2020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</cp:revision>
  <dcterms:created xsi:type="dcterms:W3CDTF">2019-12-19T06:02:00Z</dcterms:created>
  <dcterms:modified xsi:type="dcterms:W3CDTF">2020-12-14T09:32:00Z</dcterms:modified>
</cp:coreProperties>
</file>