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>ВЫГОНИЧСКИЙ МУНИЦИПАЛЬНЫЙ РАЙОН</w:t>
      </w:r>
    </w:p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>ВЫГОНИЧСКИЙ ПОСЕЛКОВЫЙ СОВЕТ НАРОДНЫХ ДЕПУТАТОВ</w:t>
      </w:r>
    </w:p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>3-го созыва</w:t>
      </w:r>
    </w:p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>пос. Выгоничи</w:t>
      </w:r>
    </w:p>
    <w:p w:rsidR="003425FD" w:rsidRPr="002E5AE1" w:rsidRDefault="003425FD" w:rsidP="003425FD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2E5A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РЕШЕНИЕ</w:t>
      </w:r>
    </w:p>
    <w:p w:rsidR="003425FD" w:rsidRPr="002E5AE1" w:rsidRDefault="003425FD" w:rsidP="00342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5FD" w:rsidRPr="002E5AE1" w:rsidRDefault="003425FD" w:rsidP="003425FD">
      <w:pPr>
        <w:pStyle w:val="1"/>
        <w:jc w:val="left"/>
        <w:rPr>
          <w:b w:val="0"/>
          <w:szCs w:val="28"/>
        </w:rPr>
      </w:pPr>
      <w:r w:rsidRPr="002E5AE1">
        <w:rPr>
          <w:b w:val="0"/>
          <w:szCs w:val="28"/>
        </w:rPr>
        <w:t xml:space="preserve">   От «02» марта   2016г.                                                              №4-72</w:t>
      </w:r>
    </w:p>
    <w:p w:rsidR="003425FD" w:rsidRPr="002E5AE1" w:rsidRDefault="003425FD" w:rsidP="003425FD">
      <w:pPr>
        <w:spacing w:after="0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>Об утверждении «Программы комплексного</w:t>
      </w:r>
    </w:p>
    <w:p w:rsidR="003425FD" w:rsidRPr="002E5AE1" w:rsidRDefault="003425FD" w:rsidP="003425FD">
      <w:pPr>
        <w:spacing w:after="0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 xml:space="preserve"> развития систем коммунальной </w:t>
      </w:r>
    </w:p>
    <w:p w:rsidR="003425FD" w:rsidRPr="002E5AE1" w:rsidRDefault="003425FD" w:rsidP="003425FD">
      <w:pPr>
        <w:spacing w:after="0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>инфраструктуры Выгоничского городского поселения»</w:t>
      </w:r>
    </w:p>
    <w:p w:rsidR="003425FD" w:rsidRPr="002E5AE1" w:rsidRDefault="003425FD" w:rsidP="003425FD">
      <w:pPr>
        <w:spacing w:after="0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</w:t>
      </w:r>
      <w:r w:rsidRPr="002E5AE1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2003г.№ 131-ФЗ « Об общих принципах организации местного самоуправления в Российской Федерации», руководствуясь пунктом 1 части 1 статьи 5, статьей 11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2E5AE1">
          <w:rPr>
            <w:rFonts w:ascii="Times New Roman" w:hAnsi="Times New Roman"/>
            <w:sz w:val="28"/>
            <w:szCs w:val="28"/>
          </w:rPr>
          <w:t>2004 г</w:t>
        </w:r>
      </w:smartTag>
      <w:r w:rsidRPr="002E5AE1">
        <w:rPr>
          <w:rFonts w:ascii="Times New Roman" w:hAnsi="Times New Roman"/>
          <w:sz w:val="28"/>
          <w:szCs w:val="28"/>
        </w:rPr>
        <w:t>. № 210 –ФЗ « Об основах регулирования тарифов организаций коммунального комплекса», Уставом Выгоничского городского поселения</w:t>
      </w:r>
    </w:p>
    <w:p w:rsidR="003425FD" w:rsidRPr="002E5AE1" w:rsidRDefault="003425FD" w:rsidP="003425FD">
      <w:pPr>
        <w:spacing w:after="0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 xml:space="preserve">      Выгоничский поселковый Совет народных депутатов</w:t>
      </w:r>
    </w:p>
    <w:p w:rsidR="003425FD" w:rsidRPr="002E5AE1" w:rsidRDefault="003425FD" w:rsidP="003425FD">
      <w:pPr>
        <w:pStyle w:val="a5"/>
        <w:rPr>
          <w:szCs w:val="28"/>
        </w:rPr>
      </w:pPr>
      <w:r w:rsidRPr="002E5AE1">
        <w:rPr>
          <w:szCs w:val="28"/>
        </w:rPr>
        <w:t xml:space="preserve"> </w:t>
      </w:r>
      <w:r w:rsidRPr="002E5AE1">
        <w:rPr>
          <w:b/>
          <w:bCs/>
          <w:szCs w:val="28"/>
        </w:rPr>
        <w:t>РЕШИЛ:</w:t>
      </w:r>
      <w:r w:rsidRPr="002E5AE1">
        <w:rPr>
          <w:szCs w:val="28"/>
        </w:rPr>
        <w:t xml:space="preserve"> </w:t>
      </w:r>
    </w:p>
    <w:p w:rsidR="003425FD" w:rsidRPr="002E5AE1" w:rsidRDefault="003425FD" w:rsidP="003425FD">
      <w:pPr>
        <w:pStyle w:val="a5"/>
        <w:rPr>
          <w:szCs w:val="28"/>
        </w:rPr>
      </w:pPr>
      <w:r w:rsidRPr="002E5AE1">
        <w:rPr>
          <w:szCs w:val="28"/>
        </w:rPr>
        <w:t xml:space="preserve">            </w:t>
      </w:r>
    </w:p>
    <w:p w:rsidR="003425FD" w:rsidRPr="002E5AE1" w:rsidRDefault="003425FD" w:rsidP="003425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AE1">
        <w:rPr>
          <w:rFonts w:ascii="Times New Roman" w:hAnsi="Times New Roman"/>
          <w:sz w:val="28"/>
          <w:szCs w:val="28"/>
        </w:rPr>
        <w:t xml:space="preserve">     1. Утвердить прилагаемую Программу комплексного развития  систем коммунальной инфраструктуры Выгоничского г</w:t>
      </w:r>
      <w:r>
        <w:rPr>
          <w:rFonts w:ascii="Times New Roman" w:hAnsi="Times New Roman"/>
          <w:sz w:val="28"/>
          <w:szCs w:val="28"/>
        </w:rPr>
        <w:t>ородского поселения на 2016-2020</w:t>
      </w:r>
      <w:r w:rsidRPr="002E5AE1">
        <w:rPr>
          <w:rFonts w:ascii="Times New Roman" w:hAnsi="Times New Roman"/>
          <w:sz w:val="28"/>
          <w:szCs w:val="28"/>
        </w:rPr>
        <w:t xml:space="preserve"> годы.</w:t>
      </w:r>
    </w:p>
    <w:p w:rsidR="003425FD" w:rsidRPr="002E5AE1" w:rsidRDefault="003425FD" w:rsidP="003425FD">
      <w:pPr>
        <w:pStyle w:val="a5"/>
        <w:rPr>
          <w:szCs w:val="28"/>
        </w:rPr>
      </w:pPr>
      <w:r w:rsidRPr="002E5AE1">
        <w:rPr>
          <w:szCs w:val="28"/>
        </w:rPr>
        <w:t xml:space="preserve">      2. Поручить Выгоничской поселковой администрации ежегодно представлять в Выгоничский поселковый Совет депутатов  отчет о ходе реализации указанной Программы.</w:t>
      </w:r>
    </w:p>
    <w:p w:rsidR="003425FD" w:rsidRPr="002E5AE1" w:rsidRDefault="003425FD" w:rsidP="003425FD">
      <w:pPr>
        <w:pStyle w:val="a5"/>
        <w:jc w:val="left"/>
        <w:rPr>
          <w:szCs w:val="28"/>
        </w:rPr>
      </w:pPr>
      <w:r w:rsidRPr="002E5AE1">
        <w:rPr>
          <w:szCs w:val="28"/>
        </w:rPr>
        <w:t xml:space="preserve">     3.  Обнародовать решение согласно Положению об обнародовании нормативно-правовых актов Выгоничского городского поселения.</w:t>
      </w:r>
    </w:p>
    <w:p w:rsidR="003425FD" w:rsidRPr="002E5AE1" w:rsidRDefault="003425FD" w:rsidP="003425FD">
      <w:pPr>
        <w:pStyle w:val="a5"/>
        <w:jc w:val="left"/>
        <w:rPr>
          <w:szCs w:val="28"/>
        </w:rPr>
      </w:pPr>
    </w:p>
    <w:p w:rsidR="003425FD" w:rsidRPr="002E5AE1" w:rsidRDefault="003425FD" w:rsidP="003425FD">
      <w:pPr>
        <w:pStyle w:val="a5"/>
        <w:jc w:val="left"/>
        <w:rPr>
          <w:szCs w:val="28"/>
        </w:rPr>
      </w:pPr>
      <w:r w:rsidRPr="002E5AE1">
        <w:rPr>
          <w:szCs w:val="28"/>
        </w:rPr>
        <w:t xml:space="preserve">Глава  п. Выгоничи                                                                 Е.Н.Заварзина          </w:t>
      </w:r>
    </w:p>
    <w:p w:rsidR="003425FD" w:rsidRPr="00D53E8D" w:rsidRDefault="003425FD" w:rsidP="003425FD">
      <w:pPr>
        <w:spacing w:after="0"/>
        <w:rPr>
          <w:sz w:val="28"/>
          <w:szCs w:val="28"/>
        </w:rPr>
      </w:pPr>
    </w:p>
    <w:p w:rsidR="003425FD" w:rsidRPr="00D53E8D" w:rsidRDefault="003425FD" w:rsidP="003425FD">
      <w:pPr>
        <w:spacing w:after="0"/>
        <w:rPr>
          <w:sz w:val="28"/>
          <w:szCs w:val="28"/>
        </w:rPr>
      </w:pP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  <w:r w:rsidRPr="00A70B8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70B88">
        <w:rPr>
          <w:rFonts w:ascii="Times New Roman" w:hAnsi="Times New Roman"/>
          <w:sz w:val="24"/>
          <w:szCs w:val="24"/>
        </w:rPr>
        <w:t xml:space="preserve">         </w:t>
      </w: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Pr="00A70B88" w:rsidRDefault="003425FD" w:rsidP="003425FD">
      <w:pPr>
        <w:jc w:val="right"/>
        <w:rPr>
          <w:rFonts w:ascii="Times New Roman" w:hAnsi="Times New Roman"/>
          <w:sz w:val="24"/>
          <w:szCs w:val="24"/>
        </w:rPr>
      </w:pPr>
      <w:r w:rsidRPr="00A70B8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0052E">
        <w:rPr>
          <w:rFonts w:ascii="Times New Roman" w:hAnsi="Times New Roman"/>
          <w:sz w:val="24"/>
          <w:szCs w:val="24"/>
        </w:rPr>
        <w:t xml:space="preserve">Утверждена 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решением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Выгоничского поселк</w:t>
      </w:r>
      <w:r w:rsidRPr="00B005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вого 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B0052E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№4-72                                                                                                                                  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«02 » марта  № 2016 г.</w:t>
      </w: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Программа комплексного развития систем коммунальной</w:t>
      </w: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инфраструктуры Выгоничского городского поселения</w:t>
      </w: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2016 - 20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B0052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ПАСПОРТ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</w:p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8"/>
        <w:gridCol w:w="7177"/>
      </w:tblGrid>
      <w:tr w:rsidR="003425FD" w:rsidRPr="00B0052E" w:rsidTr="00B6229D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коммунальной инфраструктуры Выгоничск</w:t>
            </w:r>
            <w:r>
              <w:rPr>
                <w:rFonts w:ascii="Times New Roman" w:hAnsi="Times New Roman"/>
                <w:sz w:val="24"/>
                <w:szCs w:val="24"/>
              </w:rPr>
              <w:t>ого городского поселения на 2016 – 20</w:t>
            </w:r>
            <w:r w:rsidRPr="00CA04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(далее - Программа) </w:t>
            </w:r>
          </w:p>
        </w:tc>
      </w:tr>
      <w:tr w:rsidR="003425FD" w:rsidRPr="00B0052E" w:rsidTr="00B6229D">
        <w:trPr>
          <w:trHeight w:val="11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Основания для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0052E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B0052E">
              <w:rPr>
                <w:rFonts w:ascii="Times New Roman" w:hAnsi="Times New Roman"/>
                <w:sz w:val="24"/>
                <w:szCs w:val="24"/>
              </w:rPr>
              <w:t>. N 131-ФЗ "Об общих принципах организации местного самоуправления в Российской Федерации"</w:t>
            </w:r>
          </w:p>
        </w:tc>
      </w:tr>
      <w:tr w:rsidR="003425FD" w:rsidRPr="00B0052E" w:rsidTr="00B6229D">
        <w:trPr>
          <w:trHeight w:val="481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 Выгоничская поселковая администрация</w:t>
            </w:r>
          </w:p>
        </w:tc>
      </w:tr>
      <w:tr w:rsidR="003425FD" w:rsidRPr="00B0052E" w:rsidTr="00B6229D">
        <w:trPr>
          <w:trHeight w:val="784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Выгоничская поселковая администрация</w:t>
            </w:r>
          </w:p>
        </w:tc>
      </w:tr>
      <w:tr w:rsidR="003425FD" w:rsidRPr="00B0052E" w:rsidTr="00B6229D">
        <w:trPr>
          <w:trHeight w:val="569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Выгоничская поселковая администрация</w:t>
            </w:r>
          </w:p>
        </w:tc>
      </w:tr>
      <w:tr w:rsidR="003425FD" w:rsidRPr="00B0052E" w:rsidTr="00B6229D">
        <w:trPr>
          <w:trHeight w:val="994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водоснабжения, водоотведения повышения качества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сетей газоснабжения</w:t>
            </w:r>
          </w:p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FD" w:rsidRPr="00B0052E" w:rsidTr="00B6229D">
        <w:trPr>
          <w:trHeight w:val="4159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Основными задачами Программы являются: 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- строительство и модернизация систем коммунальной инфраструктуры водоснабжения,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- 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- обеспечение возможности подключения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технологического присоединения) к системам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коммунальной инфраструктуры водоснабжения,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- строительство сетей газоснабжения</w:t>
            </w:r>
          </w:p>
        </w:tc>
      </w:tr>
      <w:tr w:rsidR="003425FD" w:rsidRPr="00B0052E" w:rsidTr="00B6229D">
        <w:trPr>
          <w:trHeight w:val="636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- 20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3425FD" w:rsidRPr="00B0052E" w:rsidTr="00B6229D">
        <w:trPr>
          <w:trHeight w:val="5428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Объем, источники финансирования и</w:t>
            </w:r>
          </w:p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возврат финансовых средств 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>Источник финансирования - средства бюджетов всех уровней, тарифы, плата за подключение, инвестиции.</w:t>
            </w:r>
            <w:r w:rsidRPr="00C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Возврат средств финансирования мероприятий Программы производится либо путем передачи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инвестиционных программ с организациями коммунального комплекса.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</w:p>
        </w:tc>
      </w:tr>
      <w:tr w:rsidR="003425FD" w:rsidRPr="00B0052E" w:rsidTr="00B6229D">
        <w:trPr>
          <w:trHeight w:val="75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позволит: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-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ечить выполнение мероприятий по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строительству и модернизации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водоснабжения, водоотведения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направленных на подключение строящихся и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модернизируемых объектов;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- выполнить мероприятия по энергосбережению;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>- улучшить качество и обеспечить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дежность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предоставляемых услуг,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чего произвести ремонт бани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Выгоничи, и произвести ее газификацию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>сократить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аварийность при предоставлении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коммунальных услуг 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lastRenderedPageBreak/>
              <w:t>тем самым сократить потери коммунальных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0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- повысить уровень инвестиционной привлекательности Выгоничского городского поселения </w:t>
            </w:r>
          </w:p>
        </w:tc>
      </w:tr>
      <w:tr w:rsidR="003425FD" w:rsidRPr="00B0052E" w:rsidTr="00B6229D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контроля за </w:t>
            </w:r>
            <w:r w:rsidRPr="00B0052E">
              <w:rPr>
                <w:rFonts w:ascii="Times New Roman" w:hAnsi="Times New Roman"/>
                <w:sz w:val="24"/>
                <w:szCs w:val="24"/>
              </w:rPr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</w:p>
          <w:p w:rsidR="003425FD" w:rsidRPr="00B0052E" w:rsidRDefault="003425FD" w:rsidP="00B6229D">
            <w:pPr>
              <w:rPr>
                <w:rFonts w:ascii="Times New Roman" w:hAnsi="Times New Roman"/>
                <w:sz w:val="24"/>
                <w:szCs w:val="24"/>
              </w:rPr>
            </w:pPr>
            <w:r w:rsidRPr="00B0052E">
              <w:rPr>
                <w:rFonts w:ascii="Times New Roman" w:hAnsi="Times New Roman"/>
                <w:sz w:val="24"/>
                <w:szCs w:val="24"/>
              </w:rPr>
              <w:t xml:space="preserve">Выгоничская поселковая администрация. Для оценки эффективности реализации Программы Выгоничская поселковая администрация будет проводиться постоянный мониторинг выполнения мероприятий Программы </w:t>
            </w:r>
          </w:p>
        </w:tc>
      </w:tr>
    </w:tbl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425FD" w:rsidRPr="00B0052E" w:rsidRDefault="003425FD" w:rsidP="003425FD">
      <w:pPr>
        <w:jc w:val="center"/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Предисловие</w:t>
      </w: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052E">
        <w:rPr>
          <w:rFonts w:ascii="Times New Roman" w:hAnsi="Times New Roman"/>
          <w:sz w:val="24"/>
          <w:szCs w:val="24"/>
        </w:rPr>
        <w:t xml:space="preserve"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Неудовлетворительное состояние жилищно-коммунально</w:t>
      </w:r>
      <w:r>
        <w:rPr>
          <w:rFonts w:ascii="Times New Roman" w:hAnsi="Times New Roman"/>
          <w:sz w:val="24"/>
          <w:szCs w:val="24"/>
        </w:rPr>
        <w:t xml:space="preserve">го комплекса </w:t>
      </w:r>
      <w:r w:rsidRPr="00B0052E">
        <w:rPr>
          <w:rFonts w:ascii="Times New Roman" w:hAnsi="Times New Roman"/>
          <w:sz w:val="24"/>
          <w:szCs w:val="24"/>
        </w:rPr>
        <w:t>поселения обусловлено: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большими непроизводственными потерями энергии, воды и других ресурсов.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Выгоничского городского поселения -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</w:t>
      </w:r>
      <w:r w:rsidRPr="00B0052E">
        <w:rPr>
          <w:rFonts w:ascii="Times New Roman" w:hAnsi="Times New Roman"/>
          <w:sz w:val="24"/>
          <w:szCs w:val="24"/>
        </w:rPr>
        <w:lastRenderedPageBreak/>
        <w:t>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Программа состоит из разделов: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hyperlink r:id="rId5" w:history="1">
        <w:r w:rsidRPr="002F330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Раздел </w:t>
        </w:r>
        <w:r w:rsidRPr="002F330B">
          <w:rPr>
            <w:rFonts w:ascii="Times New Roman" w:hAnsi="Times New Roman"/>
            <w:color w:val="0000FF"/>
            <w:sz w:val="24"/>
            <w:szCs w:val="24"/>
          </w:rPr>
          <w:t>1</w:t>
        </w:r>
      </w:hyperlink>
      <w:r w:rsidRPr="002F330B">
        <w:rPr>
          <w:rFonts w:ascii="Times New Roman" w:hAnsi="Times New Roman"/>
          <w:sz w:val="24"/>
          <w:szCs w:val="24"/>
        </w:rPr>
        <w:t>.</w:t>
      </w:r>
      <w:r w:rsidRPr="00B0052E">
        <w:rPr>
          <w:rFonts w:ascii="Times New Roman" w:hAnsi="Times New Roman"/>
          <w:sz w:val="24"/>
          <w:szCs w:val="24"/>
        </w:rPr>
        <w:t xml:space="preserve"> Оценка экономической и социальной ситуации  Выгоничского городского поселения. 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hyperlink r:id="rId6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Раздел</w:t>
        </w:r>
      </w:hyperlink>
      <w:r w:rsidRPr="00B0052E">
        <w:rPr>
          <w:rFonts w:ascii="Times New Roman" w:hAnsi="Times New Roman"/>
          <w:sz w:val="24"/>
          <w:szCs w:val="24"/>
        </w:rPr>
        <w:t xml:space="preserve"> 2. Комплексное развитие системы водоснабжения Выгоничского городского поселения.;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hyperlink r:id="rId7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Раздел</w:t>
        </w:r>
      </w:hyperlink>
      <w:r w:rsidRPr="00B0052E">
        <w:rPr>
          <w:rFonts w:ascii="Times New Roman" w:hAnsi="Times New Roman"/>
          <w:sz w:val="24"/>
          <w:szCs w:val="24"/>
        </w:rPr>
        <w:t xml:space="preserve"> 3. Комплексное развитие системы водоотведения Выгоничского городского поселения;</w:t>
      </w:r>
    </w:p>
    <w:p w:rsidR="003425FD" w:rsidRDefault="003425FD" w:rsidP="003425FD">
      <w:pPr>
        <w:rPr>
          <w:rFonts w:ascii="Times New Roman" w:hAnsi="Times New Roman"/>
          <w:color w:val="000080"/>
          <w:sz w:val="24"/>
          <w:szCs w:val="24"/>
          <w:u w:val="single"/>
        </w:rPr>
      </w:pPr>
      <w:hyperlink r:id="rId8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Раздел</w:t>
        </w:r>
      </w:hyperlink>
      <w:r>
        <w:rPr>
          <w:rFonts w:ascii="Times New Roman" w:hAnsi="Times New Roman"/>
          <w:sz w:val="24"/>
          <w:szCs w:val="24"/>
        </w:rPr>
        <w:t xml:space="preserve"> 4. Комплексное развитие сетей газоснабжения</w:t>
      </w:r>
      <w:r w:rsidRPr="00B0052E">
        <w:rPr>
          <w:rFonts w:ascii="Times New Roman" w:hAnsi="Times New Roman"/>
          <w:sz w:val="24"/>
          <w:szCs w:val="24"/>
        </w:rPr>
        <w:t xml:space="preserve"> Выгоничского городского поселения;</w:t>
      </w:r>
    </w:p>
    <w:p w:rsidR="003425FD" w:rsidRDefault="003425FD" w:rsidP="003425FD">
      <w:pPr>
        <w:rPr>
          <w:rFonts w:ascii="Times New Roman" w:hAnsi="Times New Roman"/>
          <w:color w:val="000080"/>
          <w:sz w:val="24"/>
          <w:szCs w:val="24"/>
          <w:u w:val="single"/>
        </w:rPr>
      </w:pP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hyperlink r:id="rId9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Раздел</w:t>
        </w:r>
      </w:hyperlink>
      <w:r>
        <w:rPr>
          <w:rFonts w:ascii="Times New Roman" w:hAnsi="Times New Roman"/>
          <w:sz w:val="24"/>
          <w:szCs w:val="24"/>
        </w:rPr>
        <w:t xml:space="preserve"> 5</w:t>
      </w:r>
      <w:r w:rsidRPr="00B0052E">
        <w:rPr>
          <w:rFonts w:ascii="Times New Roman" w:hAnsi="Times New Roman"/>
          <w:sz w:val="24"/>
          <w:szCs w:val="24"/>
        </w:rPr>
        <w:t>. Сводные план</w:t>
      </w:r>
      <w:r>
        <w:rPr>
          <w:rFonts w:ascii="Times New Roman" w:hAnsi="Times New Roman"/>
          <w:sz w:val="24"/>
          <w:szCs w:val="24"/>
        </w:rPr>
        <w:t>ы программных мероприятий с 2016 по 2018</w:t>
      </w:r>
      <w:r w:rsidRPr="00B0052E">
        <w:rPr>
          <w:rFonts w:ascii="Times New Roman" w:hAnsi="Times New Roman"/>
          <w:sz w:val="24"/>
          <w:szCs w:val="24"/>
        </w:rPr>
        <w:t xml:space="preserve"> гг.;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0052E">
        <w:rPr>
          <w:rFonts w:ascii="Times New Roman" w:hAnsi="Times New Roman"/>
          <w:sz w:val="24"/>
          <w:szCs w:val="24"/>
        </w:rP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В результате реализации Программы: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улучшится качество предоставляемых услуг;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будет обеспечена возможность осуществления жилищного строительства;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произойдет снижение уровня износа объектов коммунальной инфраструктуры;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повысится финансовая устойчивость предприятий коммунальной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Pr="002F330B" w:rsidRDefault="003425FD" w:rsidP="003425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52E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B0052E">
        <w:rPr>
          <w:rFonts w:ascii="Times New Roman" w:hAnsi="Times New Roman"/>
          <w:b/>
          <w:bCs/>
          <w:sz w:val="24"/>
          <w:szCs w:val="24"/>
        </w:rPr>
        <w:t>едение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Правовое обоснование Программы комплексного развития систем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коммунальной инфраструктуры Выгоничского </w:t>
      </w:r>
      <w:r>
        <w:rPr>
          <w:rFonts w:ascii="Times New Roman" w:hAnsi="Times New Roman"/>
          <w:sz w:val="24"/>
          <w:szCs w:val="24"/>
        </w:rPr>
        <w:t>городского поселения 2016 г. - 20</w:t>
      </w:r>
      <w:r w:rsidRPr="00CA04F9">
        <w:rPr>
          <w:rFonts w:ascii="Times New Roman" w:hAnsi="Times New Roman"/>
          <w:sz w:val="24"/>
          <w:szCs w:val="24"/>
        </w:rPr>
        <w:t>20</w:t>
      </w:r>
      <w:r w:rsidRPr="00B0052E">
        <w:rPr>
          <w:rFonts w:ascii="Times New Roman" w:hAnsi="Times New Roman"/>
          <w:sz w:val="24"/>
          <w:szCs w:val="24"/>
        </w:rPr>
        <w:t xml:space="preserve"> г.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Выгоничского городского поселения (далее именуется Программа) разработана на основании следующих документов: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B0052E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авительства РФ </w:t>
      </w:r>
      <w:r w:rsidRPr="00B0052E">
        <w:rPr>
          <w:rFonts w:ascii="Times New Roman" w:hAnsi="Times New Roman"/>
          <w:sz w:val="24"/>
          <w:szCs w:val="24"/>
        </w:rPr>
        <w:t>от 17.12.2010 N 1050 "О федеральной це</w:t>
      </w:r>
      <w:r>
        <w:rPr>
          <w:rFonts w:ascii="Times New Roman" w:hAnsi="Times New Roman"/>
          <w:sz w:val="24"/>
          <w:szCs w:val="24"/>
        </w:rPr>
        <w:t>левой программе "Жилище" на 2015 - 2020</w:t>
      </w:r>
      <w:r w:rsidRPr="00B0052E">
        <w:rPr>
          <w:rFonts w:ascii="Times New Roman" w:hAnsi="Times New Roman"/>
          <w:sz w:val="24"/>
          <w:szCs w:val="24"/>
        </w:rPr>
        <w:t xml:space="preserve"> годы</w:t>
      </w:r>
      <w:r w:rsidRPr="00B63BF8">
        <w:rPr>
          <w:rFonts w:ascii="Times New Roman" w:hAnsi="Times New Roman"/>
          <w:sz w:val="24"/>
          <w:szCs w:val="24"/>
        </w:rPr>
        <w:t>”</w:t>
      </w:r>
      <w:r w:rsidRPr="00B0052E">
        <w:rPr>
          <w:rFonts w:ascii="Times New Roman" w:hAnsi="Times New Roman"/>
          <w:sz w:val="24"/>
          <w:szCs w:val="24"/>
        </w:rPr>
        <w:t>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1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Распоряжение</w:t>
        </w:r>
      </w:hyperlink>
      <w:r w:rsidRPr="00B0052E">
        <w:rPr>
          <w:rFonts w:ascii="Times New Roman" w:hAnsi="Times New Roman"/>
          <w:sz w:val="24"/>
          <w:szCs w:val="24"/>
        </w:rPr>
        <w:t xml:space="preserve"> Правительства РФ от 02.02.2010 N </w:t>
      </w:r>
      <w:hyperlink r:id="rId12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102-р</w:t>
        </w:r>
      </w:hyperlink>
      <w:r w:rsidRPr="00B0052E">
        <w:rPr>
          <w:rFonts w:ascii="Times New Roman" w:hAnsi="Times New Roman"/>
          <w:sz w:val="24"/>
          <w:szCs w:val="24"/>
        </w:rP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 w:rsidRPr="00B0052E">
        <w:rPr>
          <w:rFonts w:ascii="Times New Roman" w:hAnsi="Times New Roman"/>
          <w:sz w:val="24"/>
          <w:szCs w:val="24"/>
        </w:rPr>
        <w:t xml:space="preserve"> Министерства регионального развития РФ от 14.04.2008 N 48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 w:rsidRPr="00B0052E">
        <w:rPr>
          <w:rFonts w:ascii="Times New Roman" w:hAnsi="Times New Roman"/>
          <w:sz w:val="24"/>
          <w:szCs w:val="24"/>
        </w:rPr>
        <w:t xml:space="preserve"> Министерства регионального развития 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B0052E"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 w:rsidRPr="00B0052E">
        <w:rPr>
          <w:rFonts w:ascii="Times New Roman" w:hAnsi="Times New Roman"/>
          <w:sz w:val="24"/>
          <w:szCs w:val="24"/>
        </w:rPr>
        <w:t xml:space="preserve"> Министерства регионального развития  РФ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0052E">
        <w:rPr>
          <w:rFonts w:ascii="Times New Roman" w:hAnsi="Times New Roman"/>
          <w:sz w:val="24"/>
          <w:szCs w:val="24"/>
        </w:rPr>
        <w:t>Основные принципы формирования Программы комплексного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развития систем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Формирование и реализация Программы комплексного развития систем коммунальной инфраструктуры Выгоничского городского поселения основывается на следующих принципах: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мероприятия и решения Программы комплексного развития должны обеспечивать достижение поставленных целей;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052E">
        <w:rPr>
          <w:rFonts w:ascii="Times New Roman" w:hAnsi="Times New Roman"/>
          <w:sz w:val="24"/>
          <w:szCs w:val="24"/>
        </w:rPr>
        <w:t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Выгоничского городского поселения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Выгоничского городского поселения.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Выгоничского городского поселения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0052E">
        <w:rPr>
          <w:rFonts w:ascii="Times New Roman" w:hAnsi="Times New Roman"/>
          <w:sz w:val="24"/>
          <w:szCs w:val="24"/>
        </w:rPr>
        <w:t>Основными задачами Программы комплексного развития систем коммунальной инфраструктуры Выгоничского городского поселения являются: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улучшение жилищных условий и к</w:t>
      </w:r>
      <w:r>
        <w:rPr>
          <w:rFonts w:ascii="Times New Roman" w:hAnsi="Times New Roman"/>
          <w:sz w:val="24"/>
          <w:szCs w:val="24"/>
        </w:rPr>
        <w:t>ачества жизни населения Выгоничского город</w:t>
      </w:r>
      <w:r w:rsidRPr="00B0052E">
        <w:rPr>
          <w:rFonts w:ascii="Times New Roman" w:hAnsi="Times New Roman"/>
          <w:sz w:val="24"/>
          <w:szCs w:val="24"/>
        </w:rPr>
        <w:t>ского поселения;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повышение эффективности отрасли жилищно-коммунального хозяйства;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0052E">
        <w:rPr>
          <w:rFonts w:ascii="Times New Roman" w:hAnsi="Times New Roman"/>
          <w:sz w:val="24"/>
          <w:szCs w:val="24"/>
        </w:rPr>
        <w:t>- развитие и модернизация жилищного фонда;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- эффективное использование системы ресурсо- и энергосбережения;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0052E">
        <w:rPr>
          <w:rFonts w:ascii="Times New Roman" w:hAnsi="Times New Roman"/>
          <w:sz w:val="24"/>
          <w:szCs w:val="24"/>
        </w:rPr>
        <w:t>- создание благоприятного инвестиционного климата;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развитие и модернизация жилищного фонда;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 xml:space="preserve">- модернизация и обновление коммунальной инфраструктуры при обеспечении </w:t>
      </w:r>
      <w:r w:rsidRPr="00B0052E">
        <w:rPr>
          <w:rFonts w:ascii="Times New Roman" w:hAnsi="Times New Roman"/>
          <w:sz w:val="24"/>
          <w:szCs w:val="24"/>
        </w:rPr>
        <w:lastRenderedPageBreak/>
        <w:t>доступности коммунальных ресурсов для потребителей;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 использование системы частно-государственного партнерства, путем заключения ко</w:t>
      </w:r>
      <w:r>
        <w:rPr>
          <w:rFonts w:ascii="Times New Roman" w:hAnsi="Times New Roman"/>
          <w:sz w:val="24"/>
          <w:szCs w:val="24"/>
        </w:rPr>
        <w:t>нцессионных соглашений или софин</w:t>
      </w:r>
      <w:r w:rsidRPr="00B0052E">
        <w:rPr>
          <w:rFonts w:ascii="Times New Roman" w:hAnsi="Times New Roman"/>
          <w:sz w:val="24"/>
          <w:szCs w:val="24"/>
        </w:rPr>
        <w:t>ансирования инвестиционных проектов за счет средств бюджетов разных уровней.</w:t>
      </w:r>
    </w:p>
    <w:p w:rsidR="003425FD" w:rsidRPr="002B7537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2B7537">
        <w:rPr>
          <w:rFonts w:ascii="Times New Roman" w:hAnsi="Times New Roman"/>
          <w:b/>
          <w:sz w:val="24"/>
          <w:szCs w:val="24"/>
        </w:rPr>
        <w:t>Раздел 1. Оценка экономической и социальной ситуации Выгоничского городского поселения.</w:t>
      </w:r>
    </w:p>
    <w:p w:rsidR="003425FD" w:rsidRPr="00B0052E" w:rsidRDefault="003425FD" w:rsidP="003425FD">
      <w:pPr>
        <w:pStyle w:val="ParagraphStyle35"/>
        <w:rPr>
          <w:rStyle w:val="FontStyle38"/>
        </w:rPr>
      </w:pPr>
      <w:r w:rsidRPr="00B0052E">
        <w:rPr>
          <w:rFonts w:ascii="Times New Roman" w:hAnsi="Times New Roman"/>
        </w:rPr>
        <w:t>Выгоничское  городское поселение  расположено в центре Выгоничского района Брянской области и является административным центром Выгоничского района. Территория его разбросана,</w:t>
      </w:r>
      <w:r w:rsidRPr="00B0052E">
        <w:rPr>
          <w:rStyle w:val="a4"/>
          <w:rFonts w:eastAsiaTheme="majorEastAsia"/>
          <w:sz w:val="24"/>
        </w:rPr>
        <w:t xml:space="preserve"> в состав поселения входят </w:t>
      </w:r>
      <w:r w:rsidRPr="00B0052E">
        <w:rPr>
          <w:rStyle w:val="FontStyle38"/>
        </w:rPr>
        <w:t>населенные пункты: д.Залядка, д.Малиновка, п.Михайловский, п</w:t>
      </w:r>
      <w:r>
        <w:rPr>
          <w:rStyle w:val="FontStyle38"/>
        </w:rPr>
        <w:t>.Никольский, д.Клинок, п.</w:t>
      </w:r>
      <w:r w:rsidRPr="00B0052E">
        <w:rPr>
          <w:rStyle w:val="FontStyle38"/>
        </w:rPr>
        <w:t xml:space="preserve"> Николаевка, п.Новый Городец, д. Заречье, </w:t>
      </w:r>
      <w:r>
        <w:rPr>
          <w:rStyle w:val="FontStyle38"/>
        </w:rPr>
        <w:t xml:space="preserve">     </w:t>
      </w:r>
      <w:r w:rsidRPr="00B0052E">
        <w:rPr>
          <w:rStyle w:val="FontStyle38"/>
        </w:rPr>
        <w:t>с. Городец, не являющиеся муниципальными образовани</w:t>
      </w:r>
      <w:r w:rsidRPr="00B0052E">
        <w:rPr>
          <w:rStyle w:val="FontStyle38"/>
        </w:rPr>
        <w:t>я</w:t>
      </w:r>
      <w:r w:rsidRPr="00B0052E">
        <w:rPr>
          <w:rStyle w:val="FontStyle38"/>
        </w:rPr>
        <w:t>ми.</w:t>
      </w:r>
    </w:p>
    <w:p w:rsidR="003425FD" w:rsidRPr="002F330B" w:rsidRDefault="003425FD" w:rsidP="003425FD">
      <w:pPr>
        <w:rPr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 Расстояние до областного центра составляет 29 км</w:t>
      </w:r>
      <w:r w:rsidRPr="00B0052E">
        <w:rPr>
          <w:sz w:val="24"/>
          <w:szCs w:val="24"/>
        </w:rPr>
        <w:t>.</w:t>
      </w:r>
      <w:r w:rsidRPr="00B0052E">
        <w:rPr>
          <w:rFonts w:ascii="Times New Roman" w:hAnsi="Times New Roman"/>
          <w:sz w:val="24"/>
          <w:szCs w:val="24"/>
        </w:rPr>
        <w:t xml:space="preserve"> Транспортно-географическое положение поселения довольно благоприятное, его пересекают железная и автомобильные дороги республиканского(2,727  км),  областного значения (8,53 км), и (53,6 км) местного значения.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Общая площадь поселения составляет 34,11 кв. км. На территории поселения залегает общераспространенные полезные ископаемые: торф, глина, песок.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Экономика городского поселения представлена промышленностью, сельским хозяйством, лесным хозяйством, торговлей и социальной сферой. На территории поселения в настоящее время функционируют 5 промышленных предприятий, 1 коллективное сельскохозяйственное предприятие, 3 крестьянско-фермерских хозяйств и другие предприятия. Из учреждений социальной сферы – 2 школы, 3 дошкольных учреждений, Выгоничская ЦРБ, 1 стоматологиче</w:t>
      </w:r>
      <w:r>
        <w:rPr>
          <w:rFonts w:ascii="Times New Roman" w:hAnsi="Times New Roman"/>
          <w:sz w:val="24"/>
          <w:szCs w:val="24"/>
        </w:rPr>
        <w:t>ская поликлиника,  1 ФАП</w:t>
      </w:r>
      <w:r w:rsidRPr="00B0052E">
        <w:rPr>
          <w:rFonts w:ascii="Times New Roman" w:hAnsi="Times New Roman"/>
          <w:sz w:val="24"/>
          <w:szCs w:val="24"/>
        </w:rPr>
        <w:t>, 5 аптек различных форм собственности, 3 клубных учреждения, 4 библиотеки, детская школа искусств, 55 предприятий розничной торговли, 7 предприятий общественного питания и 14 бытового обслуживания.</w:t>
      </w:r>
      <w:r>
        <w:rPr>
          <w:sz w:val="24"/>
          <w:szCs w:val="24"/>
        </w:rPr>
        <w:t xml:space="preserve">                  </w:t>
      </w:r>
      <w:r w:rsidRPr="00B0052E">
        <w:rPr>
          <w:rFonts w:ascii="Times New Roman" w:hAnsi="Times New Roman"/>
          <w:sz w:val="24"/>
          <w:szCs w:val="24"/>
        </w:rPr>
        <w:t>Среди промышленных предприятий заметную роль играют ОАО «Содружество», специализирующееся на производстве мясных и колбасных изделий, производственный филиал ОАО «Пластик», более 30 лет выпускающий пластмассовые изделия и полиэтиленовую пленку. Население поселения составляет 5727  человек,  в том числе: городское – 4953 человека и сельское – 774 человек.  Плотность населения на 1 кв. км составляет 17,5 человек.</w:t>
      </w:r>
      <w:r w:rsidRPr="00B0052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3425FD" w:rsidRPr="00B0052E" w:rsidRDefault="003425FD" w:rsidP="003425FD">
      <w:pPr>
        <w:pStyle w:val="3"/>
        <w:jc w:val="center"/>
        <w:rPr>
          <w:szCs w:val="24"/>
        </w:rPr>
      </w:pPr>
      <w:r w:rsidRPr="00B0052E">
        <w:rPr>
          <w:szCs w:val="24"/>
        </w:rPr>
        <w:t>Жилищно-коммунальное хозяйство</w:t>
      </w:r>
    </w:p>
    <w:p w:rsidR="003425FD" w:rsidRPr="0013423C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052E">
        <w:rPr>
          <w:rFonts w:ascii="Times New Roman" w:hAnsi="Times New Roman"/>
          <w:sz w:val="24"/>
          <w:szCs w:val="24"/>
        </w:rPr>
        <w:t>Вопросами  жилищно-коммунального хозяйства  по</w:t>
      </w:r>
      <w:r>
        <w:rPr>
          <w:rFonts w:ascii="Times New Roman" w:hAnsi="Times New Roman"/>
          <w:sz w:val="24"/>
          <w:szCs w:val="24"/>
        </w:rPr>
        <w:t>селения занимается  районное ООО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0052E">
        <w:rPr>
          <w:rFonts w:ascii="Times New Roman" w:hAnsi="Times New Roman"/>
          <w:sz w:val="24"/>
          <w:szCs w:val="24"/>
        </w:rPr>
        <w:t>Выг</w:t>
      </w:r>
      <w:r>
        <w:rPr>
          <w:rFonts w:ascii="Times New Roman" w:hAnsi="Times New Roman"/>
          <w:sz w:val="24"/>
          <w:szCs w:val="24"/>
        </w:rPr>
        <w:t>оничские коммунальные системы»</w:t>
      </w:r>
      <w:r w:rsidRPr="00B0052E">
        <w:rPr>
          <w:rFonts w:ascii="Times New Roman" w:hAnsi="Times New Roman"/>
          <w:sz w:val="24"/>
          <w:szCs w:val="24"/>
        </w:rPr>
        <w:t xml:space="preserve">, расположенное на территории п. Выгоничи.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052E">
        <w:rPr>
          <w:rFonts w:ascii="Times New Roman" w:hAnsi="Times New Roman"/>
          <w:sz w:val="24"/>
          <w:szCs w:val="24"/>
        </w:rPr>
        <w:t>По состоянию на 1 января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B0052E">
        <w:rPr>
          <w:rFonts w:ascii="Times New Roman" w:hAnsi="Times New Roman"/>
          <w:sz w:val="24"/>
          <w:szCs w:val="24"/>
        </w:rPr>
        <w:t xml:space="preserve"> года общий жилой фонд поселения составляет </w:t>
      </w:r>
      <w:r>
        <w:rPr>
          <w:rFonts w:ascii="Times New Roman" w:hAnsi="Times New Roman"/>
          <w:sz w:val="24"/>
          <w:szCs w:val="24"/>
        </w:rPr>
        <w:t xml:space="preserve">321681кв.м., обслуживаемый  ООО « Выгоничские коммунальные системы» 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жилищный фонд  составил 10533 кв. метра</w:t>
      </w:r>
      <w:r w:rsidRPr="00B0052E">
        <w:rPr>
          <w:rFonts w:ascii="Times New Roman" w:hAnsi="Times New Roman"/>
          <w:sz w:val="24"/>
          <w:szCs w:val="24"/>
        </w:rPr>
        <w:t>, в том числе муници</w:t>
      </w:r>
      <w:r>
        <w:rPr>
          <w:rFonts w:ascii="Times New Roman" w:hAnsi="Times New Roman"/>
          <w:sz w:val="24"/>
          <w:szCs w:val="24"/>
        </w:rPr>
        <w:t>пальный жилищный фонд 1619,8</w:t>
      </w:r>
      <w:r w:rsidRPr="00B0052E">
        <w:rPr>
          <w:rFonts w:ascii="Times New Roman" w:hAnsi="Times New Roman"/>
          <w:sz w:val="24"/>
          <w:szCs w:val="24"/>
        </w:rPr>
        <w:t>6 кв</w:t>
      </w:r>
      <w:r>
        <w:rPr>
          <w:rFonts w:ascii="Times New Roman" w:hAnsi="Times New Roman"/>
          <w:sz w:val="24"/>
          <w:szCs w:val="24"/>
        </w:rPr>
        <w:t>.м.</w:t>
      </w:r>
      <w:r w:rsidRPr="00B0052E">
        <w:rPr>
          <w:rFonts w:ascii="Times New Roman" w:hAnsi="Times New Roman"/>
          <w:sz w:val="24"/>
          <w:szCs w:val="24"/>
        </w:rPr>
        <w:t xml:space="preserve">  Обеспеченность жилой площадью  в расчете на одного жителя в поселении составляет 22,8 квадратных метров.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В целях реализации данной программы и  создания нормальных условий для проживания жителей поселения, необходимо произвести;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-</w:t>
      </w:r>
      <w:r w:rsidRPr="00B0052E">
        <w:rPr>
          <w:rFonts w:ascii="Times New Roman" w:hAnsi="Times New Roman"/>
          <w:sz w:val="24"/>
          <w:szCs w:val="24"/>
        </w:rPr>
        <w:t xml:space="preserve"> работу по паспортизации жилого фонда по энергосбережению.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- про</w:t>
      </w:r>
      <w:r w:rsidRPr="00B0052E">
        <w:rPr>
          <w:rFonts w:ascii="Times New Roman" w:hAnsi="Times New Roman"/>
          <w:sz w:val="24"/>
          <w:szCs w:val="24"/>
        </w:rPr>
        <w:t>вести ремонт бани п. Выгоничи;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B0052E">
        <w:rPr>
          <w:rFonts w:ascii="Times New Roman" w:hAnsi="Times New Roman"/>
          <w:b/>
          <w:sz w:val="24"/>
          <w:szCs w:val="24"/>
        </w:rPr>
        <w:t>-</w:t>
      </w:r>
      <w:r w:rsidRPr="00B0052E">
        <w:rPr>
          <w:rFonts w:ascii="Times New Roman" w:hAnsi="Times New Roman"/>
          <w:sz w:val="24"/>
          <w:szCs w:val="24"/>
        </w:rPr>
        <w:t xml:space="preserve"> произвести</w:t>
      </w:r>
      <w:r w:rsidRPr="00B0052E">
        <w:rPr>
          <w:rFonts w:ascii="Times New Roman" w:hAnsi="Times New Roman"/>
          <w:b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ремонт культурных учреждений поселения.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 xml:space="preserve">              Одним из главных направлений является благоустройство и озеленение территорий поселения,  вывоз мусора, благоустройство кладбищ и воинских захоронений,   братских  могил, строительство ограждений вокруг кладбищ.</w:t>
      </w: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Водоснабжение, водоотведение,  вывоз ЖБО и ТБО</w:t>
      </w:r>
    </w:p>
    <w:p w:rsidR="003425FD" w:rsidRDefault="003425FD" w:rsidP="003425FD">
      <w:pPr>
        <w:rPr>
          <w:rFonts w:ascii="Times New Roman" w:hAnsi="Times New Roman"/>
          <w:b/>
          <w:bCs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На территории городского поселения услуги водоснабжения оказывает специализированное предприятие районное  МУП «Выгоничский водоканал» в объёме:     253598 м3.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Система водоснабжения и водоотведения в поселении  представлена  основным  предприятием  МУП «Выгоничский районный водоканал»,  деятельность, которого направлена на обеспечение водой питьевого качества населения, коммунально-бытовых и промышленных предприятий, а так же очистку и сброс стоков. МУП «Выгоничский районный водоканал» в своем составе имеет канализационные очистные сооружения: очистные сооружения Выгоничской ЦРБ мощностью 50 куб. м в сутки. На балансе предприятия находится 7 артезианских скважин, 18,741 км водопроводных сетей, 0,3 км. канализационных сетей расположенных на территории городского поселения и 7 артезианских скважины, 16,7 км. водопроводных сетей находящихся в муниципальной собственности и переданные в оперативное управление.    В связи с тем, что в поселке нет центральных очистных сооружений</w:t>
      </w:r>
      <w:r w:rsidRPr="00B0052E">
        <w:rPr>
          <w:rFonts w:ascii="Times New Roman" w:hAnsi="Times New Roman"/>
          <w:b/>
          <w:sz w:val="24"/>
          <w:szCs w:val="24"/>
        </w:rPr>
        <w:t xml:space="preserve">  у</w:t>
      </w:r>
      <w:r w:rsidRPr="00B0052E">
        <w:rPr>
          <w:rFonts w:ascii="Times New Roman" w:hAnsi="Times New Roman"/>
          <w:sz w:val="24"/>
          <w:szCs w:val="24"/>
        </w:rPr>
        <w:t>слуги населению по вывозу ЖБО оказывает специализированное предприятие МУП «Выгоничское» ЖКХ» в следующих объемах: 42480 м3.Из-за отсутствия центральных очистных сооружений в п. Выгоничи требуется дополнитель</w:t>
      </w:r>
      <w:r>
        <w:rPr>
          <w:rFonts w:ascii="Times New Roman" w:hAnsi="Times New Roman"/>
          <w:sz w:val="24"/>
          <w:szCs w:val="24"/>
        </w:rPr>
        <w:t>ная техника для откачки ЖБО</w:t>
      </w:r>
      <w:r w:rsidRPr="00B00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 xml:space="preserve">В период реализации настоящей программы Выгоничской поселковой администрации, совместно  с отделом ЖКХ и строительства районной администрации необходимо подготовить исходные данные для строительства очистных сооружений за счет средств </w:t>
      </w:r>
      <w:r>
        <w:rPr>
          <w:rFonts w:ascii="Times New Roman" w:hAnsi="Times New Roman"/>
          <w:sz w:val="24"/>
          <w:szCs w:val="24"/>
        </w:rPr>
        <w:t>всех уровней</w:t>
      </w:r>
      <w:r w:rsidRPr="00B0052E">
        <w:rPr>
          <w:rFonts w:ascii="Times New Roman" w:hAnsi="Times New Roman"/>
          <w:sz w:val="24"/>
          <w:szCs w:val="24"/>
        </w:rPr>
        <w:t xml:space="preserve"> бюджета. Вывоз твердых бытовых отходов </w:t>
      </w:r>
      <w:r>
        <w:rPr>
          <w:rFonts w:ascii="Times New Roman" w:hAnsi="Times New Roman"/>
          <w:sz w:val="24"/>
          <w:szCs w:val="24"/>
        </w:rPr>
        <w:t>осуществляет ООО «АвтоКом</w:t>
      </w:r>
      <w:r w:rsidRPr="00B0052E">
        <w:rPr>
          <w:rFonts w:ascii="Times New Roman" w:hAnsi="Times New Roman"/>
          <w:sz w:val="24"/>
          <w:szCs w:val="24"/>
        </w:rPr>
        <w:t xml:space="preserve">» на полигон г.Брянска. Существующая свалка бытовых отходов находится в неудовлетворительном состоянии. В 2002 году началось строительство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B0052E">
        <w:rPr>
          <w:rFonts w:ascii="Times New Roman" w:hAnsi="Times New Roman"/>
          <w:sz w:val="24"/>
          <w:szCs w:val="24"/>
        </w:rPr>
        <w:t xml:space="preserve">полигона </w:t>
      </w:r>
      <w:r>
        <w:rPr>
          <w:rFonts w:ascii="Times New Roman" w:hAnsi="Times New Roman"/>
          <w:sz w:val="24"/>
          <w:szCs w:val="24"/>
        </w:rPr>
        <w:t>(объект накопления), площадью 30000 кв.м, в рамках областной целевой программы «Охрана окружающей природной среды Брянской области 2014-2020г.г.»</w:t>
      </w:r>
      <w:r w:rsidRPr="00B0052E">
        <w:rPr>
          <w:rFonts w:ascii="Times New Roman" w:hAnsi="Times New Roman"/>
          <w:sz w:val="24"/>
          <w:szCs w:val="24"/>
        </w:rPr>
        <w:t xml:space="preserve"> и освоено средс</w:t>
      </w:r>
      <w:r>
        <w:rPr>
          <w:rFonts w:ascii="Times New Roman" w:hAnsi="Times New Roman"/>
          <w:sz w:val="24"/>
          <w:szCs w:val="24"/>
        </w:rPr>
        <w:t>тв областного и местного бюджетов в  сумме 4,46</w:t>
      </w:r>
      <w:r w:rsidRPr="00B0052E">
        <w:rPr>
          <w:rFonts w:ascii="Times New Roman" w:hAnsi="Times New Roman"/>
          <w:sz w:val="24"/>
          <w:szCs w:val="24"/>
        </w:rPr>
        <w:t xml:space="preserve"> млн. рубл</w:t>
      </w:r>
      <w:r>
        <w:rPr>
          <w:rFonts w:ascii="Times New Roman" w:hAnsi="Times New Roman"/>
          <w:sz w:val="24"/>
          <w:szCs w:val="24"/>
        </w:rPr>
        <w:t xml:space="preserve">ей, </w:t>
      </w:r>
      <w:r w:rsidRPr="00B0052E">
        <w:rPr>
          <w:rFonts w:ascii="Times New Roman" w:hAnsi="Times New Roman"/>
          <w:sz w:val="24"/>
          <w:szCs w:val="24"/>
        </w:rPr>
        <w:t xml:space="preserve"> для окончания строительства</w:t>
      </w:r>
      <w:r>
        <w:rPr>
          <w:rFonts w:ascii="Times New Roman" w:hAnsi="Times New Roman"/>
          <w:sz w:val="24"/>
          <w:szCs w:val="24"/>
        </w:rPr>
        <w:t xml:space="preserve"> требуется около 12,0 млн. руб.</w:t>
      </w:r>
      <w:r w:rsidRPr="00B0052E">
        <w:rPr>
          <w:rFonts w:ascii="Times New Roman" w:hAnsi="Times New Roman"/>
          <w:sz w:val="24"/>
          <w:szCs w:val="24"/>
        </w:rPr>
        <w:t>. Заказчиком строительства полигона бытовых отходов выступает администрация Выгоничского района.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425FD" w:rsidRDefault="003425FD" w:rsidP="003425FD">
      <w:pPr>
        <w:jc w:val="center"/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 xml:space="preserve">Раздел </w:t>
      </w:r>
      <w:r w:rsidRPr="00B0052E">
        <w:rPr>
          <w:rFonts w:ascii="Times New Roman" w:hAnsi="Times New Roman"/>
          <w:b/>
          <w:bCs/>
          <w:sz w:val="24"/>
          <w:szCs w:val="24"/>
        </w:rPr>
        <w:t>2. Комплексное развитие системы водоснабжения Выгоничского городского поселения.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Основным источником хозяйственно-питьевого водоснабжения в поселении являются  подземные воды. Вода подземных источников в основном т</w:t>
      </w:r>
      <w:r>
        <w:rPr>
          <w:rFonts w:ascii="Times New Roman" w:hAnsi="Times New Roman"/>
          <w:sz w:val="24"/>
          <w:szCs w:val="24"/>
        </w:rPr>
        <w:t xml:space="preserve">ребует только профилактического </w:t>
      </w:r>
      <w:r w:rsidRPr="00B0052E">
        <w:rPr>
          <w:rFonts w:ascii="Times New Roman" w:hAnsi="Times New Roman"/>
          <w:sz w:val="24"/>
          <w:szCs w:val="24"/>
        </w:rPr>
        <w:t>обеззараживания. Изношенность водопроводных сетей составляет 90%, доля аварийных и ветхих муниципальных водопроводных сетей – 88,0%.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Из-за значительной изношенности, большого количества аварий и технических нарушений на водопроводных сетях качество питьевой воды в разводящих сетях ухудшается как по санитарно-химическим, так и по микробиологическим показателям.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Систему водоснабжения в Выгоничском городском поселении планируется развивать по следующим направлениям.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005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sz w:val="24"/>
          <w:szCs w:val="24"/>
        </w:rPr>
        <w:t>строительство водозабора подземных вод , как наиболее защищенных от техногенного воздействия человека на окружающую среду. Д</w:t>
      </w:r>
      <w:r>
        <w:rPr>
          <w:rFonts w:ascii="Times New Roman" w:hAnsi="Times New Roman"/>
          <w:sz w:val="24"/>
          <w:szCs w:val="24"/>
        </w:rPr>
        <w:t xml:space="preserve">анное мероприятие направлено на </w:t>
      </w:r>
      <w:r w:rsidRPr="00B0052E">
        <w:rPr>
          <w:rFonts w:ascii="Times New Roman" w:hAnsi="Times New Roman"/>
          <w:sz w:val="24"/>
          <w:szCs w:val="24"/>
        </w:rPr>
        <w:t>улучшение качества питьевого водоснабжения населения, согласно требований Сан ПиН 2.1.4.1074-01.</w:t>
      </w:r>
    </w:p>
    <w:p w:rsidR="003425FD" w:rsidRPr="00B0052E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0052E">
        <w:rPr>
          <w:rFonts w:ascii="Times New Roman" w:hAnsi="Times New Roman"/>
          <w:sz w:val="24"/>
          <w:szCs w:val="24"/>
        </w:rPr>
        <w:t xml:space="preserve">-строительство станций водоподготовки на артезианских скважинах. Строительство станций водоподготовки на артезианских скважинах позволит привести качество питьевого водоснабжения в </w:t>
      </w:r>
      <w:r>
        <w:rPr>
          <w:rFonts w:ascii="Times New Roman" w:hAnsi="Times New Roman"/>
          <w:sz w:val="24"/>
          <w:szCs w:val="24"/>
        </w:rPr>
        <w:t xml:space="preserve">соответствии с требованиями Сан </w:t>
      </w:r>
      <w:r w:rsidRPr="00B0052E">
        <w:rPr>
          <w:rFonts w:ascii="Times New Roman" w:hAnsi="Times New Roman"/>
          <w:sz w:val="24"/>
          <w:szCs w:val="24"/>
        </w:rPr>
        <w:t>ПиН 2.1.4.1074-01</w:t>
      </w:r>
    </w:p>
    <w:p w:rsidR="003425FD" w:rsidRPr="00D072D3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 w:rsidRPr="00B0052E">
        <w:rPr>
          <w:rFonts w:ascii="Times New Roman" w:hAnsi="Times New Roman"/>
          <w:b/>
          <w:sz w:val="24"/>
          <w:szCs w:val="24"/>
        </w:rPr>
        <w:t>3. Комплексное развитие системы водоотведения Выгоничского городского  поселения.</w:t>
      </w:r>
    </w:p>
    <w:p w:rsidR="003425FD" w:rsidRDefault="003425FD" w:rsidP="003425FD">
      <w:pPr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sz w:val="24"/>
          <w:szCs w:val="24"/>
        </w:rPr>
        <w:t>В систему водоотведения Выгоничского городского поселения входят очистные сооружения многоквартирных домов ул.9 Мая, Свердлова, Молодежная и МУЗ «Выгоничская ЦРБ» в п. Выгоничи. Остальная часть поселения пользуется выгребными ямами с вывозом ЖБО на существующие очистные сооружения. В поселении остро стоит вопрос строительства очистных сооружений.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425FD" w:rsidRPr="00594AC5" w:rsidRDefault="003425FD" w:rsidP="003425FD">
      <w:pPr>
        <w:jc w:val="center"/>
        <w:rPr>
          <w:rFonts w:ascii="Times New Roman" w:hAnsi="Times New Roman"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Раздел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Комплексное развитие сетей</w:t>
      </w:r>
      <w:r w:rsidRPr="00B005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газоснабжения</w:t>
      </w:r>
      <w:r w:rsidRPr="00B0052E">
        <w:rPr>
          <w:rFonts w:ascii="Times New Roman" w:hAnsi="Times New Roman"/>
          <w:b/>
          <w:sz w:val="24"/>
          <w:szCs w:val="24"/>
        </w:rPr>
        <w:t xml:space="preserve"> Выгоничского городского  поселения.</w:t>
      </w:r>
    </w:p>
    <w:p w:rsidR="003425FD" w:rsidRPr="006825D9" w:rsidRDefault="003425FD" w:rsidP="00342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Развитие сетей газоснабжения</w:t>
      </w:r>
      <w:r w:rsidRPr="00B63BF8">
        <w:rPr>
          <w:rFonts w:ascii="Times New Roman" w:hAnsi="Times New Roman"/>
          <w:sz w:val="24"/>
          <w:szCs w:val="24"/>
        </w:rPr>
        <w:t xml:space="preserve"> в Выгоничском городском поселении</w:t>
      </w:r>
      <w:r>
        <w:rPr>
          <w:rFonts w:ascii="Times New Roman" w:hAnsi="Times New Roman"/>
          <w:sz w:val="24"/>
          <w:szCs w:val="24"/>
        </w:rPr>
        <w:t xml:space="preserve"> позволит решить задачу полного обеспечения природным газом населенные пункты за исключением неперспективных. </w:t>
      </w:r>
    </w:p>
    <w:p w:rsidR="003425FD" w:rsidRPr="00B0052E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B0052E">
        <w:rPr>
          <w:rFonts w:ascii="Times New Roman" w:hAnsi="Times New Roman"/>
          <w:b/>
          <w:sz w:val="24"/>
          <w:szCs w:val="24"/>
        </w:rPr>
        <w:t>Раздел</w:t>
      </w:r>
      <w:r w:rsidRPr="00B00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B0052E">
        <w:rPr>
          <w:rFonts w:ascii="Times New Roman" w:hAnsi="Times New Roman"/>
          <w:b/>
          <w:sz w:val="24"/>
          <w:szCs w:val="24"/>
        </w:rPr>
        <w:t>. Сводные план</w:t>
      </w:r>
      <w:r>
        <w:rPr>
          <w:rFonts w:ascii="Times New Roman" w:hAnsi="Times New Roman"/>
          <w:b/>
          <w:sz w:val="24"/>
          <w:szCs w:val="24"/>
        </w:rPr>
        <w:t>ы программных мероприятий с 2016 по 20</w:t>
      </w:r>
      <w:r w:rsidRPr="0008463D">
        <w:rPr>
          <w:rFonts w:ascii="Times New Roman" w:hAnsi="Times New Roman"/>
          <w:b/>
          <w:sz w:val="24"/>
          <w:szCs w:val="24"/>
        </w:rPr>
        <w:t>20</w:t>
      </w:r>
      <w:r w:rsidRPr="00B0052E">
        <w:rPr>
          <w:rFonts w:ascii="Times New Roman" w:hAnsi="Times New Roman"/>
          <w:b/>
          <w:sz w:val="24"/>
          <w:szCs w:val="24"/>
        </w:rPr>
        <w:t xml:space="preserve"> г.г.</w:t>
      </w:r>
    </w:p>
    <w:p w:rsidR="003425FD" w:rsidRPr="002F14D8" w:rsidRDefault="003425FD" w:rsidP="003425FD">
      <w:pPr>
        <w:jc w:val="center"/>
        <w:rPr>
          <w:rFonts w:ascii="Times New Roman" w:hAnsi="Times New Roman"/>
          <w:b/>
          <w:sz w:val="24"/>
          <w:szCs w:val="24"/>
        </w:rPr>
      </w:pPr>
      <w:r w:rsidRPr="002F14D8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F14D8">
        <w:rPr>
          <w:rFonts w:ascii="Times New Roman" w:hAnsi="Times New Roman"/>
          <w:b/>
          <w:sz w:val="24"/>
          <w:szCs w:val="24"/>
        </w:rPr>
        <w:t>планируемых объектов строительства сетей газоснабжения в муниц</w:t>
      </w:r>
      <w:r>
        <w:rPr>
          <w:rFonts w:ascii="Times New Roman" w:hAnsi="Times New Roman"/>
          <w:b/>
          <w:sz w:val="24"/>
          <w:szCs w:val="24"/>
        </w:rPr>
        <w:t>ипальном образовании в 2016-20</w:t>
      </w:r>
      <w:r w:rsidRPr="0008463D">
        <w:rPr>
          <w:rFonts w:ascii="Times New Roman" w:hAnsi="Times New Roman"/>
          <w:b/>
          <w:sz w:val="24"/>
          <w:szCs w:val="24"/>
        </w:rPr>
        <w:t>20</w:t>
      </w:r>
      <w:r w:rsidRPr="002F14D8">
        <w:rPr>
          <w:rFonts w:ascii="Times New Roman" w:hAnsi="Times New Roman"/>
          <w:b/>
          <w:sz w:val="24"/>
          <w:szCs w:val="24"/>
        </w:rPr>
        <w:t xml:space="preserve"> годах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701"/>
        <w:gridCol w:w="1173"/>
        <w:gridCol w:w="1946"/>
      </w:tblGrid>
      <w:tr w:rsidR="003425FD" w:rsidRPr="000243B3" w:rsidTr="00B6229D">
        <w:trPr>
          <w:trHeight w:val="1020"/>
        </w:trPr>
        <w:tc>
          <w:tcPr>
            <w:tcW w:w="5353" w:type="dxa"/>
            <w:vMerge w:val="restart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Количество жилых домов,</w:t>
            </w: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подлежащих</w:t>
            </w: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газификации</w:t>
            </w:r>
          </w:p>
        </w:tc>
        <w:tc>
          <w:tcPr>
            <w:tcW w:w="3119" w:type="dxa"/>
            <w:gridSpan w:val="2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Предполагаемая протяженность газопроводов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0243B3">
              <w:rPr>
                <w:rFonts w:ascii="Times New Roman" w:hAnsi="Times New Roman"/>
                <w:sz w:val="24"/>
                <w:szCs w:val="28"/>
              </w:rPr>
              <w:t xml:space="preserve"> км</w:t>
            </w:r>
          </w:p>
        </w:tc>
      </w:tr>
      <w:tr w:rsidR="003425FD" w:rsidRPr="000243B3" w:rsidTr="00B6229D">
        <w:trPr>
          <w:trHeight w:val="445"/>
        </w:trPr>
        <w:tc>
          <w:tcPr>
            <w:tcW w:w="5353" w:type="dxa"/>
            <w:vMerge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3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высокого давления</w:t>
            </w:r>
          </w:p>
        </w:tc>
        <w:tc>
          <w:tcPr>
            <w:tcW w:w="1946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низкого давления</w:t>
            </w:r>
          </w:p>
        </w:tc>
      </w:tr>
      <w:tr w:rsidR="003425FD" w:rsidRPr="000243B3" w:rsidTr="00B6229D">
        <w:trPr>
          <w:trHeight w:val="275"/>
        </w:trPr>
        <w:tc>
          <w:tcPr>
            <w:tcW w:w="10173" w:type="dxa"/>
            <w:gridSpan w:val="4"/>
            <w:vAlign w:val="center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2016 год</w:t>
            </w:r>
          </w:p>
        </w:tc>
      </w:tr>
      <w:tr w:rsidR="003425FD" w:rsidRPr="000243B3" w:rsidTr="00B6229D">
        <w:trPr>
          <w:trHeight w:val="379"/>
        </w:trPr>
        <w:tc>
          <w:tcPr>
            <w:tcW w:w="5353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п. Заречье ул. Солнечная</w:t>
            </w:r>
          </w:p>
        </w:tc>
        <w:tc>
          <w:tcPr>
            <w:tcW w:w="1701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0,250</w:t>
            </w:r>
          </w:p>
        </w:tc>
      </w:tr>
      <w:tr w:rsidR="003425FD" w:rsidRPr="000243B3" w:rsidTr="00B6229D">
        <w:trPr>
          <w:trHeight w:val="379"/>
        </w:trPr>
        <w:tc>
          <w:tcPr>
            <w:tcW w:w="10173" w:type="dxa"/>
            <w:gridSpan w:val="4"/>
            <w:vAlign w:val="center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2017 год</w:t>
            </w:r>
          </w:p>
        </w:tc>
      </w:tr>
      <w:tr w:rsidR="003425FD" w:rsidRPr="000243B3" w:rsidTr="00B6229D">
        <w:trPr>
          <w:trHeight w:val="379"/>
        </w:trPr>
        <w:tc>
          <w:tcPr>
            <w:tcW w:w="5353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п. Выгоничи, Отрадная, 17 Сентября, Сосновая, Грибачева, Есенина, Березовая (ПСД  разработано)</w:t>
            </w:r>
          </w:p>
        </w:tc>
        <w:tc>
          <w:tcPr>
            <w:tcW w:w="1701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1173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425FD" w:rsidRPr="00CA04F9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</w:tr>
      <w:tr w:rsidR="003425FD" w:rsidRPr="000243B3" w:rsidTr="00B6229D">
        <w:trPr>
          <w:trHeight w:val="379"/>
        </w:trPr>
        <w:tc>
          <w:tcPr>
            <w:tcW w:w="10173" w:type="dxa"/>
            <w:gridSpan w:val="4"/>
            <w:vAlign w:val="center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2018 год</w:t>
            </w:r>
          </w:p>
        </w:tc>
      </w:tr>
      <w:tr w:rsidR="003425FD" w:rsidRPr="000243B3" w:rsidTr="00B6229D">
        <w:trPr>
          <w:trHeight w:val="379"/>
        </w:trPr>
        <w:tc>
          <w:tcPr>
            <w:tcW w:w="5353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п. Выгоничи, Отрадная, 17 Сентября, Сосновая, Грибачева, Есенина, Березовая (ПСД  разработано)</w:t>
            </w:r>
          </w:p>
        </w:tc>
        <w:tc>
          <w:tcPr>
            <w:tcW w:w="1701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173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</w:tr>
    </w:tbl>
    <w:p w:rsidR="003425FD" w:rsidRPr="002B5EF9" w:rsidRDefault="003425FD" w:rsidP="003425FD">
      <w:pPr>
        <w:pBdr>
          <w:left w:val="single" w:sz="4" w:space="4" w:color="auto"/>
          <w:right w:val="single" w:sz="4" w:space="27" w:color="auto"/>
        </w:pBd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                           2019 </w:t>
      </w:r>
      <w:r>
        <w:rPr>
          <w:rFonts w:ascii="Times New Roman" w:hAnsi="Times New Roman"/>
          <w:b/>
          <w:sz w:val="24"/>
          <w:szCs w:val="28"/>
        </w:rPr>
        <w:t>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701"/>
        <w:gridCol w:w="1173"/>
        <w:gridCol w:w="1946"/>
      </w:tblGrid>
      <w:tr w:rsidR="003425FD" w:rsidRPr="00841C2B" w:rsidTr="00B6229D">
        <w:trPr>
          <w:trHeight w:val="379"/>
        </w:trPr>
        <w:tc>
          <w:tcPr>
            <w:tcW w:w="5353" w:type="dxa"/>
            <w:tcBorders>
              <w:bottom w:val="nil"/>
            </w:tcBorders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Разработка ПСД нового массива севернее ул. Полевая с.Городец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40 у</w:t>
            </w:r>
            <w:r w:rsidRPr="006825D9">
              <w:rPr>
                <w:rFonts w:ascii="Times New Roman" w:hAnsi="Times New Roman"/>
                <w:sz w:val="24"/>
                <w:szCs w:val="28"/>
              </w:rPr>
              <w:t>ч</w:t>
            </w:r>
            <w:r w:rsidRPr="00841C2B">
              <w:rPr>
                <w:rFonts w:ascii="Times New Roman" w:hAnsi="Times New Roman"/>
                <w:sz w:val="24"/>
                <w:szCs w:val="28"/>
              </w:rPr>
              <w:t>астков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</w:tbl>
    <w:p w:rsidR="003425FD" w:rsidRDefault="003425FD" w:rsidP="003425FD">
      <w:pPr>
        <w:pBdr>
          <w:top w:val="single" w:sz="4" w:space="1" w:color="auto"/>
          <w:left w:val="single" w:sz="4" w:space="4" w:color="auto"/>
          <w:right w:val="single" w:sz="4" w:space="26" w:color="auto"/>
        </w:pBd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2020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701"/>
        <w:gridCol w:w="1173"/>
        <w:gridCol w:w="1946"/>
      </w:tblGrid>
      <w:tr w:rsidR="003425FD" w:rsidRPr="00841C2B" w:rsidTr="00B6229D">
        <w:trPr>
          <w:trHeight w:val="379"/>
        </w:trPr>
        <w:tc>
          <w:tcPr>
            <w:tcW w:w="5353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Газификация нового массива севернее ул. Полевая с.Городец</w:t>
            </w:r>
          </w:p>
        </w:tc>
        <w:tc>
          <w:tcPr>
            <w:tcW w:w="1701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40 участков</w:t>
            </w:r>
          </w:p>
        </w:tc>
        <w:tc>
          <w:tcPr>
            <w:tcW w:w="1173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425FD" w:rsidRPr="00841C2B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1C2B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</w:tbl>
    <w:p w:rsidR="003425FD" w:rsidRDefault="003425FD" w:rsidP="003425FD">
      <w:pPr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</w:p>
    <w:p w:rsidR="003425FD" w:rsidRPr="000243B3" w:rsidRDefault="003425FD" w:rsidP="003425FD">
      <w:pPr>
        <w:jc w:val="center"/>
        <w:rPr>
          <w:rFonts w:ascii="Times New Roman" w:hAnsi="Times New Roman"/>
          <w:b/>
          <w:sz w:val="24"/>
          <w:szCs w:val="28"/>
        </w:rPr>
      </w:pPr>
      <w:r w:rsidRPr="000243B3">
        <w:rPr>
          <w:rFonts w:ascii="Times New Roman" w:hAnsi="Times New Roman"/>
          <w:b/>
          <w:sz w:val="24"/>
          <w:szCs w:val="28"/>
        </w:rPr>
        <w:t>Перечень</w:t>
      </w: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Pr="000243B3">
        <w:rPr>
          <w:rFonts w:ascii="Times New Roman" w:hAnsi="Times New Roman"/>
          <w:b/>
          <w:sz w:val="24"/>
          <w:szCs w:val="28"/>
        </w:rPr>
        <w:t>планируемых объектов строительства и реконструкции сетей водоснабжения в муниципальном образовании</w:t>
      </w:r>
      <w:r>
        <w:rPr>
          <w:rFonts w:ascii="Times New Roman" w:hAnsi="Times New Roman"/>
          <w:b/>
          <w:sz w:val="24"/>
          <w:szCs w:val="28"/>
        </w:rPr>
        <w:t xml:space="preserve"> на 2016-2020</w:t>
      </w:r>
      <w:r w:rsidRPr="000243B3">
        <w:rPr>
          <w:rFonts w:ascii="Times New Roman" w:hAnsi="Times New Roman"/>
          <w:b/>
          <w:sz w:val="24"/>
          <w:szCs w:val="28"/>
        </w:rPr>
        <w:t xml:space="preserve"> г.г. за счет средств областного бюджета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2552"/>
        <w:gridCol w:w="2410"/>
      </w:tblGrid>
      <w:tr w:rsidR="003425FD" w:rsidRPr="000243B3" w:rsidTr="00B6229D">
        <w:trPr>
          <w:trHeight w:val="949"/>
        </w:trPr>
        <w:tc>
          <w:tcPr>
            <w:tcW w:w="3369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Протяженность водопроводных сетей км</w:t>
            </w: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Необходимость бурения скважин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243B3">
              <w:rPr>
                <w:rFonts w:ascii="Times New Roman" w:hAnsi="Times New Roman"/>
                <w:sz w:val="24"/>
                <w:szCs w:val="28"/>
              </w:rPr>
              <w:t>(ориентировочная глубина, км)</w:t>
            </w: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Необходимость</w:t>
            </w: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монтажа водонапорной башни (ориентировочный объем, м. куб.)</w:t>
            </w:r>
          </w:p>
        </w:tc>
      </w:tr>
      <w:tr w:rsidR="003425FD" w:rsidRPr="000243B3" w:rsidTr="00B6229D">
        <w:trPr>
          <w:trHeight w:val="409"/>
        </w:trPr>
        <w:tc>
          <w:tcPr>
            <w:tcW w:w="10173" w:type="dxa"/>
            <w:gridSpan w:val="4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2016 год</w:t>
            </w:r>
          </w:p>
        </w:tc>
      </w:tr>
      <w:tr w:rsidR="003425FD" w:rsidRPr="000243B3" w:rsidTr="00B6229D">
        <w:trPr>
          <w:trHeight w:val="2166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Проектная документация по строительству скважины и водопроводных сетей п. Выгоничи Отрадная, 17 Сентября, Сосновая, Грибачева, Есенина, Березовая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Произвести закольцовку водопроводных сетей по      ул. Калинина </w:t>
            </w:r>
          </w:p>
        </w:tc>
        <w:tc>
          <w:tcPr>
            <w:tcW w:w="1842" w:type="dxa"/>
          </w:tcPr>
          <w:p w:rsidR="003425FD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425FD" w:rsidRPr="00B229BE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9BE">
              <w:rPr>
                <w:rFonts w:ascii="Times New Roman" w:hAnsi="Times New Roman"/>
                <w:sz w:val="24"/>
                <w:szCs w:val="28"/>
              </w:rPr>
              <w:t>1,0</w:t>
            </w:r>
          </w:p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425FD" w:rsidRPr="000243B3" w:rsidTr="00B6229D">
        <w:trPr>
          <w:trHeight w:val="415"/>
        </w:trPr>
        <w:tc>
          <w:tcPr>
            <w:tcW w:w="10173" w:type="dxa"/>
            <w:gridSpan w:val="4"/>
            <w:vAlign w:val="center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2017 год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 xml:space="preserve">Реконструкция водонапорной башни п.Выгоничи, ул. Комсомольская 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30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.куб.-замена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 xml:space="preserve">Реконструкция водонапорной башни п.Выгоничи, ул. П.Зайцева, 4а 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30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.куб.-замена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Строительство скважины и водопроводных сетей п. Выгоничи Отрадная, 17 Сентября, Сосновая, Грибачева, Есенина, Березовая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Разработка ПСД нового массива реконструкция водонапорной башни и строительство водопровода севернее ул. Полевая с.Городец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25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</w:t>
            </w:r>
          </w:p>
        </w:tc>
      </w:tr>
      <w:tr w:rsidR="003425FD" w:rsidRPr="000243B3" w:rsidTr="00B6229D">
        <w:trPr>
          <w:trHeight w:val="415"/>
        </w:trPr>
        <w:tc>
          <w:tcPr>
            <w:tcW w:w="10173" w:type="dxa"/>
            <w:gridSpan w:val="4"/>
            <w:vAlign w:val="center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43B3">
              <w:rPr>
                <w:rFonts w:ascii="Times New Roman" w:hAnsi="Times New Roman"/>
                <w:b/>
                <w:sz w:val="24"/>
                <w:szCs w:val="28"/>
              </w:rPr>
              <w:t>2018 год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Реконструкция водонапорной башни и строительство водопровода севернее ул. Полевая с.Городец</w:t>
            </w:r>
          </w:p>
        </w:tc>
        <w:tc>
          <w:tcPr>
            <w:tcW w:w="184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2552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25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</w:t>
            </w:r>
          </w:p>
        </w:tc>
      </w:tr>
      <w:tr w:rsidR="003425FD" w:rsidRPr="000243B3" w:rsidTr="00B6229D">
        <w:trPr>
          <w:trHeight w:val="41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Разработка ПСД на строительство водонапорной башни и водопроводных сетей ул. Майская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50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</w:t>
            </w:r>
          </w:p>
        </w:tc>
      </w:tr>
    </w:tbl>
    <w:p w:rsidR="003425FD" w:rsidRDefault="003425FD" w:rsidP="003425FD"/>
    <w:p w:rsidR="003425FD" w:rsidRDefault="003425FD" w:rsidP="003425FD"/>
    <w:p w:rsidR="003425FD" w:rsidRPr="000243B3" w:rsidRDefault="003425FD" w:rsidP="003425FD"/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42"/>
        <w:gridCol w:w="2552"/>
        <w:gridCol w:w="2377"/>
        <w:gridCol w:w="33"/>
      </w:tblGrid>
      <w:tr w:rsidR="003425FD" w:rsidTr="00B6229D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1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FD" w:rsidRPr="00BB1C9D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1C9D">
              <w:rPr>
                <w:rFonts w:ascii="Times New Roman" w:hAnsi="Times New Roman"/>
                <w:b/>
                <w:sz w:val="24"/>
                <w:szCs w:val="28"/>
              </w:rPr>
              <w:t>2019 год</w:t>
            </w:r>
          </w:p>
        </w:tc>
      </w:tr>
      <w:tr w:rsidR="003425FD" w:rsidRPr="000243B3" w:rsidTr="00B622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3B3">
              <w:rPr>
                <w:rFonts w:ascii="Times New Roman" w:hAnsi="Times New Roman"/>
                <w:sz w:val="24"/>
                <w:szCs w:val="28"/>
              </w:rPr>
              <w:t>Строительство скважины и водопроводных сетей п. Выгоничи Отрадная, 17 Сентября, Сосновая, Грибачева, Есенина, Березовая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25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</w:t>
            </w:r>
          </w:p>
        </w:tc>
      </w:tr>
      <w:tr w:rsidR="003425FD" w:rsidRPr="000243B3" w:rsidTr="00B622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Реконструкция скважины (бурение) с.Городец, ул. Полевая,31а (смета имеется)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FD" w:rsidRPr="00223EE2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FD" w:rsidRPr="00B229BE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9BE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FD" w:rsidRPr="00223EE2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425FD" w:rsidRPr="00BB1C9D" w:rsidRDefault="003425FD" w:rsidP="003425FD">
      <w:pPr>
        <w:pBdr>
          <w:top w:val="single" w:sz="4" w:space="13" w:color="auto"/>
          <w:left w:val="single" w:sz="4" w:space="4" w:color="auto"/>
          <w:right w:val="single" w:sz="4" w:space="26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B1C9D">
        <w:rPr>
          <w:rFonts w:ascii="Times New Roman" w:hAnsi="Times New Roman"/>
          <w:b/>
          <w:sz w:val="24"/>
          <w:szCs w:val="24"/>
        </w:rPr>
        <w:t>2020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2552"/>
        <w:gridCol w:w="2410"/>
      </w:tblGrid>
      <w:tr w:rsidR="003425FD" w:rsidRPr="000243B3" w:rsidTr="00B6229D">
        <w:trPr>
          <w:trHeight w:val="41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425FD" w:rsidRPr="000243B3" w:rsidRDefault="003425FD" w:rsidP="00B622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Строительство водонапорной башни и водопроводных сетей ул. Майская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25FD" w:rsidRPr="00BB1C9D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425FD" w:rsidRPr="00BB1C9D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1C9D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43B3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425FD" w:rsidRPr="000243B3" w:rsidRDefault="003425FD" w:rsidP="00B6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0243B3">
                <w:rPr>
                  <w:rFonts w:ascii="Times New Roman" w:hAnsi="Times New Roman"/>
                  <w:sz w:val="24"/>
                  <w:szCs w:val="28"/>
                </w:rPr>
                <w:t>50 м</w:t>
              </w:r>
            </w:smartTag>
            <w:r w:rsidRPr="000243B3">
              <w:rPr>
                <w:rFonts w:ascii="Times New Roman" w:hAnsi="Times New Roman"/>
                <w:sz w:val="24"/>
                <w:szCs w:val="28"/>
              </w:rPr>
              <w:t>.куб</w:t>
            </w:r>
          </w:p>
        </w:tc>
      </w:tr>
    </w:tbl>
    <w:p w:rsidR="003425FD" w:rsidRPr="006273E9" w:rsidRDefault="003425FD" w:rsidP="003425FD">
      <w:pPr>
        <w:rPr>
          <w:rFonts w:ascii="Times New Roman" w:hAnsi="Times New Roman"/>
          <w:sz w:val="24"/>
          <w:szCs w:val="24"/>
        </w:rPr>
      </w:pPr>
    </w:p>
    <w:p w:rsidR="005A1E38" w:rsidRDefault="005A1E38">
      <w:bookmarkStart w:id="0" w:name="_GoBack"/>
      <w:bookmarkEnd w:id="0"/>
    </w:p>
    <w:sectPr w:rsidR="005A1E38" w:rsidSect="006273E9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FD"/>
    <w:rsid w:val="003425FD"/>
    <w:rsid w:val="005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25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3425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425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3425FD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425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38">
    <w:name w:val="Font Style38"/>
    <w:rsid w:val="003425FD"/>
    <w:rPr>
      <w:rFonts w:ascii="Times New Roman" w:hAnsi="Times New Roman"/>
      <w:noProof w:val="0"/>
      <w:sz w:val="28"/>
      <w:szCs w:val="28"/>
    </w:rPr>
  </w:style>
  <w:style w:type="paragraph" w:customStyle="1" w:styleId="ParagraphStyle35">
    <w:name w:val="Paragraph Style35"/>
    <w:rsid w:val="003425F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3">
    <w:name w:val="Стиль3"/>
    <w:basedOn w:val="2"/>
    <w:rsid w:val="003425FD"/>
    <w:pPr>
      <w:suppressAutoHyphens/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4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25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3425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425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3425FD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425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38">
    <w:name w:val="Font Style38"/>
    <w:rsid w:val="003425FD"/>
    <w:rPr>
      <w:rFonts w:ascii="Times New Roman" w:hAnsi="Times New Roman"/>
      <w:noProof w:val="0"/>
      <w:sz w:val="28"/>
      <w:szCs w:val="28"/>
    </w:rPr>
  </w:style>
  <w:style w:type="paragraph" w:customStyle="1" w:styleId="ParagraphStyle35">
    <w:name w:val="Paragraph Style35"/>
    <w:rsid w:val="003425F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3">
    <w:name w:val="Стиль3"/>
    <w:basedOn w:val="2"/>
    <w:rsid w:val="003425FD"/>
    <w:pPr>
      <w:suppressAutoHyphens/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4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6183;fld=134;dst=101969" TargetMode="External"/><Relationship Id="rId13" Type="http://schemas.openxmlformats.org/officeDocument/2006/relationships/hyperlink" Target="consultantplus://offline/main?base=LAW;n=7809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46183;fld=134;dst=101969" TargetMode="External"/><Relationship Id="rId12" Type="http://schemas.openxmlformats.org/officeDocument/2006/relationships/hyperlink" Target="consultantplus://offline/main?base=LAW;n=97439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46183;fld=134;dst=101612" TargetMode="External"/><Relationship Id="rId11" Type="http://schemas.openxmlformats.org/officeDocument/2006/relationships/hyperlink" Target="consultantplus://offline/main?base=LAW;n=97439;fld=134" TargetMode="External"/><Relationship Id="rId5" Type="http://schemas.openxmlformats.org/officeDocument/2006/relationships/hyperlink" Target="consultantplus://offline/main?base=RLAW358;n=46183;fld=134;dst=100107" TargetMode="External"/><Relationship Id="rId15" Type="http://schemas.openxmlformats.org/officeDocument/2006/relationships/hyperlink" Target="consultantplus://offline/main?base=LAW;n=72835;fld=134" TargetMode="External"/><Relationship Id="rId10" Type="http://schemas.openxmlformats.org/officeDocument/2006/relationships/hyperlink" Target="consultantplus://offline/main?base=LAW;n=1090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46183;fld=134;dst=102494" TargetMode="External"/><Relationship Id="rId14" Type="http://schemas.openxmlformats.org/officeDocument/2006/relationships/hyperlink" Target="consultantplus://offline/main?base=LAW;n=7283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3753</Words>
  <Characters>21394</Characters>
  <Application>Microsoft Office Word</Application>
  <DocSecurity>0</DocSecurity>
  <Lines>178</Lines>
  <Paragraphs>50</Paragraphs>
  <ScaleCrop>false</ScaleCrop>
  <Company/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2019-03-20T14:14:00Z</dcterms:created>
  <dcterms:modified xsi:type="dcterms:W3CDTF">2019-03-20T14:14:00Z</dcterms:modified>
</cp:coreProperties>
</file>