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7521F3" w:rsidRDefault="007521F3">
      <w:pPr>
        <w:pStyle w:val="ConsPlusNormal"/>
        <w:jc w:val="both"/>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ПРОЕКТ</w:t>
      </w:r>
    </w:p>
    <w:p w:rsidR="00651E3A" w:rsidRPr="009F7532" w:rsidRDefault="00651E3A">
      <w:pPr>
        <w:pStyle w:val="ConsPlusTitle"/>
        <w:jc w:val="center"/>
        <w:rPr>
          <w:rFonts w:ascii="Times New Roman" w:hAnsi="Times New Roman" w:cs="Times New Roman"/>
          <w:sz w:val="28"/>
          <w:szCs w:val="28"/>
        </w:rPr>
      </w:pPr>
      <w:bookmarkStart w:id="0" w:name="P37"/>
      <w:bookmarkEnd w:id="0"/>
      <w:r w:rsidRPr="009F7532">
        <w:rPr>
          <w:rFonts w:ascii="Times New Roman" w:hAnsi="Times New Roman" w:cs="Times New Roman"/>
          <w:sz w:val="28"/>
          <w:szCs w:val="28"/>
        </w:rPr>
        <w:t>АДМИНИСТРАТИВНЫЙ РЕГЛАМЕНТ</w:t>
      </w:r>
    </w:p>
    <w:p w:rsidR="00651E3A" w:rsidRPr="009F7532" w:rsidRDefault="00651E3A" w:rsidP="009F7532">
      <w:pPr>
        <w:pStyle w:val="ConsPlusTitle"/>
        <w:jc w:val="center"/>
        <w:rPr>
          <w:rFonts w:ascii="Times New Roman" w:hAnsi="Times New Roman" w:cs="Times New Roman"/>
          <w:sz w:val="28"/>
          <w:szCs w:val="28"/>
        </w:rPr>
      </w:pPr>
      <w:r w:rsidRPr="009F7532">
        <w:rPr>
          <w:rFonts w:ascii="Times New Roman" w:hAnsi="Times New Roman" w:cs="Times New Roman"/>
          <w:sz w:val="28"/>
          <w:szCs w:val="28"/>
        </w:rPr>
        <w:t>АДМИНИСТРАЦИИ</w:t>
      </w:r>
      <w:r w:rsidR="009F7532" w:rsidRPr="009F7532">
        <w:rPr>
          <w:rFonts w:ascii="Times New Roman" w:hAnsi="Times New Roman" w:cs="Times New Roman"/>
          <w:sz w:val="28"/>
          <w:szCs w:val="28"/>
        </w:rPr>
        <w:t xml:space="preserve"> ДМИТРИЕВСКОГО СЕЛЬСКОГО ПОСЕЛЕНИЯ ПАНИНСКОГО МУНИЦИПАЛЬНОГО РАЙОНА ВОРОНЕЖСКОЙ ОБЛАСТИ</w:t>
      </w:r>
    </w:p>
    <w:p w:rsidR="00651E3A" w:rsidRPr="009F7532" w:rsidRDefault="00651E3A" w:rsidP="00711C24">
      <w:pPr>
        <w:autoSpaceDE w:val="0"/>
        <w:autoSpaceDN w:val="0"/>
        <w:adjustRightInd w:val="0"/>
        <w:jc w:val="center"/>
        <w:rPr>
          <w:b/>
          <w:sz w:val="28"/>
          <w:szCs w:val="28"/>
        </w:rPr>
      </w:pPr>
      <w:r w:rsidRPr="009F7532">
        <w:rPr>
          <w:b/>
          <w:sz w:val="28"/>
          <w:szCs w:val="28"/>
        </w:rPr>
        <w:t xml:space="preserve">ПО ПРЕДОСТАВЛЕНИЮ МУНИЦИПАЛЬНОЙ УСЛУГИ </w:t>
      </w:r>
      <w:r w:rsidR="00711C24" w:rsidRPr="009F7532">
        <w:rPr>
          <w:b/>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F7532">
        <w:rPr>
          <w:b/>
          <w:sz w:val="28"/>
          <w:szCs w:val="28"/>
        </w:rPr>
        <w:t>"</w:t>
      </w:r>
    </w:p>
    <w:p w:rsidR="00651E3A" w:rsidRPr="009F7532" w:rsidRDefault="00651E3A">
      <w:pPr>
        <w:pStyle w:val="ConsPlusNormal"/>
        <w:jc w:val="center"/>
        <w:rPr>
          <w:rFonts w:ascii="Times New Roman" w:hAnsi="Times New Roman" w:cs="Times New Roman"/>
          <w:b/>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w:t>
      </w:r>
      <w:r w:rsidR="009F7532">
        <w:rPr>
          <w:rFonts w:ascii="Times New Roman" w:hAnsi="Times New Roman" w:cs="Times New Roman"/>
          <w:sz w:val="28"/>
          <w:szCs w:val="28"/>
        </w:rPr>
        <w:t>министрации 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009F7532" w:rsidRPr="00BB02D7">
        <w:rPr>
          <w:rFonts w:ascii="Times New Roman" w:hAnsi="Times New Roman" w:cs="Times New Roman"/>
          <w:sz w:val="28"/>
          <w:szCs w:val="28"/>
        </w:rPr>
        <w:t xml:space="preserve"> </w:t>
      </w:r>
      <w:r w:rsidRPr="004D41BD">
        <w:rPr>
          <w:rFonts w:ascii="Times New Roman" w:hAnsi="Times New Roman" w:cs="Times New Roman"/>
          <w:sz w:val="28"/>
          <w:szCs w:val="28"/>
        </w:rPr>
        <w:t>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4D41BD">
        <w:rPr>
          <w:rFonts w:ascii="Times New Roman" w:hAnsi="Times New Roman" w:cs="Times New Roman"/>
          <w:sz w:val="28"/>
          <w:szCs w:val="28"/>
        </w:rPr>
        <w:t xml:space="preserve">решенийопереводе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9F7532">
        <w:rPr>
          <w:rFonts w:ascii="Times New Roman" w:hAnsi="Times New Roman" w:cs="Times New Roman"/>
          <w:sz w:val="28"/>
          <w:szCs w:val="28"/>
        </w:rPr>
        <w:t>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651E3A" w:rsidRPr="004D41BD">
        <w:rPr>
          <w:sz w:val="28"/>
          <w:szCs w:val="28"/>
        </w:rPr>
        <w:t xml:space="preserve"> на территории </w:t>
      </w:r>
      <w:r w:rsidR="009F7532">
        <w:rPr>
          <w:sz w:val="28"/>
          <w:szCs w:val="28"/>
        </w:rPr>
        <w:t>Дмитриевского сельского поселения</w:t>
      </w:r>
      <w:r w:rsidR="009F7532" w:rsidRPr="00C100F5">
        <w:rPr>
          <w:sz w:val="28"/>
          <w:szCs w:val="28"/>
        </w:rPr>
        <w:t xml:space="preserve"> </w:t>
      </w:r>
      <w:r w:rsidR="009F7532">
        <w:rPr>
          <w:sz w:val="28"/>
          <w:szCs w:val="28"/>
        </w:rPr>
        <w:t>Панинского муниципального района Воронежской области</w:t>
      </w:r>
      <w:r w:rsidR="00651E3A" w:rsidRPr="004D41BD">
        <w:rPr>
          <w:sz w:val="28"/>
          <w:szCs w:val="28"/>
        </w:rPr>
        <w:t xml:space="preserve">, </w:t>
      </w:r>
      <w:r w:rsidR="00711C24" w:rsidRPr="004D41BD">
        <w:rPr>
          <w:sz w:val="28"/>
          <w:szCs w:val="28"/>
        </w:rPr>
        <w:t>или</w:t>
      </w:r>
      <w:r w:rsidR="009F7532">
        <w:rPr>
          <w:sz w:val="28"/>
          <w:szCs w:val="28"/>
        </w:rPr>
        <w:t xml:space="preserve"> </w:t>
      </w:r>
      <w:r w:rsidR="00711C24" w:rsidRPr="004D41BD">
        <w:rPr>
          <w:sz w:val="28"/>
          <w:szCs w:val="28"/>
        </w:rPr>
        <w:t xml:space="preserve">уполномоченное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Орган, предоставляющий муниципальную услугу:</w:t>
      </w:r>
      <w:r w:rsidR="009F7532">
        <w:rPr>
          <w:rFonts w:ascii="Times New Roman" w:hAnsi="Times New Roman" w:cs="Times New Roman"/>
          <w:sz w:val="28"/>
          <w:szCs w:val="28"/>
        </w:rPr>
        <w:t xml:space="preserve"> администрация 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009F7532" w:rsidRPr="00BB02D7">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2"/>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009F7532">
        <w:rPr>
          <w:rFonts w:ascii="Times New Roman" w:hAnsi="Times New Roman" w:cs="Times New Roman"/>
          <w:sz w:val="28"/>
          <w:szCs w:val="28"/>
        </w:rPr>
        <w:t>дминистрации в сети Интернет (</w:t>
      </w:r>
      <w:r w:rsidR="009F7532">
        <w:rPr>
          <w:rFonts w:ascii="Times New Roman" w:hAnsi="Times New Roman" w:cs="Times New Roman"/>
          <w:sz w:val="28"/>
          <w:szCs w:val="28"/>
          <w:lang w:val="en-US"/>
        </w:rPr>
        <w:t>dmitr</w:t>
      </w:r>
      <w:r w:rsidR="009F7532" w:rsidRPr="00067468">
        <w:rPr>
          <w:rFonts w:ascii="Times New Roman" w:hAnsi="Times New Roman" w:cs="Times New Roman"/>
          <w:sz w:val="28"/>
          <w:szCs w:val="28"/>
        </w:rPr>
        <w:t>-</w:t>
      </w:r>
      <w:r w:rsidR="009F7532">
        <w:rPr>
          <w:rFonts w:ascii="Times New Roman" w:hAnsi="Times New Roman" w:cs="Times New Roman"/>
          <w:sz w:val="28"/>
          <w:szCs w:val="28"/>
          <w:lang w:val="en-US"/>
        </w:rPr>
        <w:t>pn</w:t>
      </w:r>
      <w:r w:rsidR="009F7532" w:rsidRPr="00067468">
        <w:rPr>
          <w:rFonts w:ascii="Times New Roman" w:hAnsi="Times New Roman" w:cs="Times New Roman"/>
          <w:sz w:val="28"/>
          <w:szCs w:val="28"/>
        </w:rPr>
        <w:t>.</w:t>
      </w:r>
      <w:r w:rsidR="009F7532">
        <w:rPr>
          <w:rFonts w:ascii="Times New Roman" w:hAnsi="Times New Roman" w:cs="Times New Roman"/>
          <w:sz w:val="28"/>
          <w:szCs w:val="28"/>
          <w:lang w:val="en-US"/>
        </w:rPr>
        <w:t>ru</w:t>
      </w:r>
      <w:r w:rsidR="009F7532">
        <w:rPr>
          <w:rFonts w:ascii="Times New Roman" w:hAnsi="Times New Roman" w:cs="Times New Roman"/>
          <w:sz w:val="28"/>
          <w:szCs w:val="28"/>
        </w:rPr>
        <w:t>)</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 xml:space="preserve">Принятие </w:t>
      </w:r>
      <w:r w:rsidR="00711C24" w:rsidRPr="004D41BD">
        <w:rPr>
          <w:rFonts w:ascii="Times New Roman" w:hAnsi="Times New Roman" w:cs="Times New Roman"/>
          <w:sz w:val="28"/>
          <w:szCs w:val="28"/>
        </w:rPr>
        <w:lastRenderedPageBreak/>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9F7532">
        <w:rPr>
          <w:rFonts w:ascii="Times New Roman" w:hAnsi="Times New Roman" w:cs="Times New Roman"/>
          <w:sz w:val="28"/>
          <w:szCs w:val="28"/>
        </w:rPr>
        <w:t>рация 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009F7532" w:rsidRPr="00BB02D7">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9F7532" w:rsidRDefault="00BC4D1E" w:rsidP="00BC4D1E">
      <w:pPr>
        <w:tabs>
          <w:tab w:val="left" w:pos="0"/>
        </w:tabs>
        <w:autoSpaceDE w:val="0"/>
        <w:autoSpaceDN w:val="0"/>
        <w:adjustRightInd w:val="0"/>
        <w:contextualSpacing/>
        <w:jc w:val="both"/>
        <w:rPr>
          <w:color w:val="C00000"/>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9F7532">
        <w:rPr>
          <w:sz w:val="28"/>
          <w:szCs w:val="28"/>
        </w:rPr>
        <w:t>услуг, утвержденный  Постановление администрации Дмитриевского сельского поселения</w:t>
      </w:r>
      <w:r w:rsidR="009F7532" w:rsidRPr="00C100F5">
        <w:rPr>
          <w:sz w:val="28"/>
          <w:szCs w:val="28"/>
        </w:rPr>
        <w:t xml:space="preserve"> </w:t>
      </w:r>
      <w:r w:rsidR="009F7532">
        <w:rPr>
          <w:sz w:val="28"/>
          <w:szCs w:val="28"/>
        </w:rPr>
        <w:t>Панинского муниципального района Воронежской области</w:t>
      </w:r>
      <w:r w:rsidRPr="004D41BD">
        <w:rPr>
          <w:sz w:val="28"/>
          <w:szCs w:val="28"/>
        </w:rPr>
        <w:t xml:space="preserve"> от </w:t>
      </w:r>
      <w:r w:rsidRPr="009F7532">
        <w:rPr>
          <w:color w:val="C00000"/>
          <w:sz w:val="28"/>
          <w:szCs w:val="28"/>
        </w:rPr>
        <w:t>«___»_____ 20__ года</w:t>
      </w:r>
      <w:r w:rsidR="00EC7A35" w:rsidRPr="009F7532">
        <w:rPr>
          <w:color w:val="C00000"/>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w:t>
      </w:r>
      <w:r w:rsidR="00CE1140" w:rsidRPr="004D41BD">
        <w:rPr>
          <w:rFonts w:ascii="Times New Roman" w:hAnsi="Times New Roman" w:cs="Times New Roman"/>
          <w:sz w:val="28"/>
          <w:szCs w:val="28"/>
        </w:rPr>
        <w:lastRenderedPageBreak/>
        <w:t>обеспечения использования такого помещения вкачестве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w:t>
      </w:r>
      <w:r w:rsidR="00E02083" w:rsidRPr="004D41BD">
        <w:rPr>
          <w:rFonts w:ascii="Times New Roman" w:hAnsi="Times New Roman" w:cs="Times New Roman"/>
          <w:sz w:val="28"/>
          <w:szCs w:val="28"/>
        </w:rPr>
        <w:lastRenderedPageBreak/>
        <w:t>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Порядок приема и сроки передачи в Администрацию заявления и </w:t>
      </w:r>
      <w:r w:rsidRPr="004D41BD">
        <w:rPr>
          <w:rFonts w:ascii="Times New Roman" w:hAnsi="Times New Roman" w:cs="Times New Roman"/>
          <w:sz w:val="28"/>
          <w:szCs w:val="28"/>
        </w:rPr>
        <w:lastRenderedPageBreak/>
        <w:t>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9F7532">
        <w:rPr>
          <w:rFonts w:ascii="Times New Roman" w:hAnsi="Times New Roman" w:cs="Times New Roman"/>
          <w:sz w:val="28"/>
          <w:szCs w:val="28"/>
        </w:rPr>
        <w:t>м 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bookmarkStart w:id="1" w:name="_GoBack"/>
      <w:bookmarkEnd w:id="1"/>
      <w:r w:rsidR="009F7532">
        <w:rPr>
          <w:rFonts w:ascii="Times New Roman" w:hAnsi="Times New Roman" w:cs="Times New Roman"/>
          <w:sz w:val="28"/>
          <w:szCs w:val="28"/>
        </w:rPr>
        <w:t xml:space="preserve"> </w:t>
      </w:r>
      <w:r w:rsidR="004D41BD">
        <w:rPr>
          <w:rFonts w:ascii="Times New Roman" w:hAnsi="Times New Roman" w:cs="Times New Roman"/>
          <w:sz w:val="28"/>
          <w:szCs w:val="28"/>
        </w:rPr>
        <w:t>А</w:t>
      </w:r>
      <w:r w:rsidR="009F7532">
        <w:rPr>
          <w:rFonts w:ascii="Times New Roman" w:hAnsi="Times New Roman" w:cs="Times New Roman"/>
          <w:sz w:val="28"/>
          <w:szCs w:val="28"/>
        </w:rPr>
        <w:t>дминистрации 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«Об утверждении </w:t>
      </w:r>
      <w:r w:rsidRPr="004D41BD">
        <w:rPr>
          <w:rFonts w:ascii="Times New Roman" w:hAnsi="Times New Roman" w:cs="Times New Roman"/>
          <w:sz w:val="28"/>
          <w:szCs w:val="28"/>
        </w:rPr>
        <w:lastRenderedPageBreak/>
        <w:t>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на объект </w:t>
      </w:r>
      <w:r w:rsidRPr="004D41BD">
        <w:rPr>
          <w:rFonts w:ascii="Times New Roman" w:hAnsi="Times New Roman" w:cs="Times New Roman"/>
          <w:sz w:val="28"/>
          <w:szCs w:val="28"/>
        </w:rPr>
        <w:lastRenderedPageBreak/>
        <w:t>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81243A" w:rsidRDefault="00651E3A" w:rsidP="009F753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У входа в каждое помещение размещается табличка с наименованием </w:t>
      </w:r>
      <w:r w:rsidRPr="004D41BD">
        <w:rPr>
          <w:sz w:val="28"/>
          <w:szCs w:val="28"/>
        </w:rPr>
        <w:lastRenderedPageBreak/>
        <w:t>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 xml:space="preserve">оборудование мест ожидания в органе, предоставляющем услугу, </w:t>
      </w:r>
      <w:r w:rsidRPr="004D41BD">
        <w:rPr>
          <w:sz w:val="28"/>
          <w:szCs w:val="28"/>
        </w:rPr>
        <w:lastRenderedPageBreak/>
        <w:t>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lastRenderedPageBreak/>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w:t>
      </w:r>
      <w:r w:rsidR="000E5B30" w:rsidRPr="004D41BD">
        <w:rPr>
          <w:rFonts w:ascii="Times New Roman" w:hAnsi="Times New Roman" w:cs="Times New Roman"/>
          <w:sz w:val="28"/>
          <w:szCs w:val="28"/>
        </w:rPr>
        <w:lastRenderedPageBreak/>
        <w:t xml:space="preserve">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w:t>
      </w:r>
      <w:r w:rsidRPr="004D41BD">
        <w:rPr>
          <w:rFonts w:ascii="Times New Roman" w:hAnsi="Times New Roman" w:cs="Times New Roman"/>
          <w:sz w:val="28"/>
          <w:szCs w:val="28"/>
        </w:rPr>
        <w:lastRenderedPageBreak/>
        <w:t>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3.5.1. 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w:t>
      </w:r>
      <w:r w:rsidRPr="004D41BD">
        <w:rPr>
          <w:sz w:val="28"/>
          <w:szCs w:val="28"/>
        </w:rPr>
        <w:lastRenderedPageBreak/>
        <w:t xml:space="preserve">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w:t>
      </w:r>
      <w:r w:rsidRPr="004D41BD">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7532">
        <w:rPr>
          <w:rFonts w:ascii="Times New Roman" w:hAnsi="Times New Roman" w:cs="Times New Roman"/>
          <w:sz w:val="28"/>
          <w:szCs w:val="28"/>
        </w:rPr>
        <w:t>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7532">
        <w:rPr>
          <w:rFonts w:ascii="Times New Roman" w:hAnsi="Times New Roman" w:cs="Times New Roman"/>
          <w:sz w:val="28"/>
          <w:szCs w:val="28"/>
        </w:rPr>
        <w:t>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009F7532" w:rsidRPr="00BB02D7">
        <w:rPr>
          <w:rFonts w:ascii="Times New Roman" w:hAnsi="Times New Roman" w:cs="Times New Roman"/>
          <w:sz w:val="28"/>
          <w:szCs w:val="28"/>
        </w:rPr>
        <w:t xml:space="preserve">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7532">
        <w:rPr>
          <w:rFonts w:ascii="Times New Roman" w:hAnsi="Times New Roman" w:cs="Times New Roman"/>
          <w:sz w:val="28"/>
          <w:szCs w:val="28"/>
        </w:rPr>
        <w:t>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F7532" w:rsidRPr="009F7532">
        <w:rPr>
          <w:rFonts w:ascii="Times New Roman" w:hAnsi="Times New Roman" w:cs="Times New Roman"/>
          <w:sz w:val="28"/>
          <w:szCs w:val="28"/>
        </w:rPr>
        <w:t xml:space="preserve"> </w:t>
      </w:r>
      <w:r w:rsidR="009F7532">
        <w:rPr>
          <w:rFonts w:ascii="Times New Roman" w:hAnsi="Times New Roman" w:cs="Times New Roman"/>
          <w:sz w:val="28"/>
          <w:szCs w:val="28"/>
        </w:rPr>
        <w:t>Дмитриевского сельского поселения</w:t>
      </w:r>
      <w:r w:rsidR="009F7532" w:rsidRPr="00C100F5">
        <w:rPr>
          <w:rFonts w:ascii="Times New Roman" w:hAnsi="Times New Roman" w:cs="Times New Roman"/>
          <w:sz w:val="28"/>
          <w:szCs w:val="28"/>
        </w:rPr>
        <w:t xml:space="preserve"> </w:t>
      </w:r>
      <w:r w:rsidR="009F7532">
        <w:rPr>
          <w:rFonts w:ascii="Times New Roman" w:hAnsi="Times New Roman" w:cs="Times New Roman"/>
          <w:sz w:val="28"/>
          <w:szCs w:val="28"/>
        </w:rPr>
        <w:t>Панинского муниципального района Воронежской области</w:t>
      </w:r>
      <w:r w:rsidRPr="004D41BD">
        <w:rPr>
          <w:rFonts w:ascii="Times New Roman" w:hAnsi="Times New Roman" w:cs="Times New Roman"/>
          <w:sz w:val="28"/>
          <w:szCs w:val="28"/>
        </w:rPr>
        <w:t xml:space="preserve"> ;</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3"/>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Жалоба подлежит рассмотрению в течение пятнадцати рабочих </w:t>
      </w:r>
      <w:r w:rsidRPr="004D41BD">
        <w:rPr>
          <w:rFonts w:ascii="Times New Roman" w:hAnsi="Times New Roman" w:cs="Times New Roman"/>
          <w:sz w:val="28"/>
          <w:szCs w:val="28"/>
        </w:rPr>
        <w:lastRenderedPageBreak/>
        <w:t>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9F7532" w:rsidRPr="004D41BD" w:rsidRDefault="009F7532">
      <w:pPr>
        <w:pStyle w:val="ConsPlusNormal"/>
        <w:jc w:val="both"/>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7" w:name="P472"/>
      <w:bookmarkEnd w:id="7"/>
      <w:r w:rsidRPr="004D41BD">
        <w:rPr>
          <w:rFonts w:ascii="Times New Roman" w:hAnsi="Times New Roman" w:cs="Times New Roman"/>
          <w:sz w:val="28"/>
          <w:szCs w:val="28"/>
        </w:rPr>
        <w:lastRenderedPageBreak/>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9F7532" w:rsidRDefault="00386D3E">
      <w:pPr>
        <w:pStyle w:val="ConsPlusNormal"/>
        <w:ind w:firstLine="540"/>
        <w:jc w:val="both"/>
        <w:rPr>
          <w:rFonts w:ascii="Times New Roman" w:hAnsi="Times New Roman" w:cs="Times New Roman"/>
          <w:sz w:val="28"/>
          <w:szCs w:val="28"/>
        </w:rPr>
      </w:pPr>
    </w:p>
    <w:p w:rsidR="009F7532" w:rsidRPr="009F7532" w:rsidRDefault="009F7532" w:rsidP="009F7532">
      <w:pPr>
        <w:autoSpaceDE w:val="0"/>
        <w:autoSpaceDN w:val="0"/>
        <w:adjustRightInd w:val="0"/>
        <w:ind w:firstLine="709"/>
        <w:jc w:val="both"/>
        <w:rPr>
          <w:sz w:val="28"/>
          <w:szCs w:val="28"/>
        </w:rPr>
      </w:pPr>
      <w:r w:rsidRPr="009F7532">
        <w:rPr>
          <w:sz w:val="28"/>
          <w:szCs w:val="28"/>
        </w:rPr>
        <w:t>1. Место нахождения администрации Дмитриевского сельского поселения  Панинского муниципального района Воронежской области: Воронежская область, панинский район, с. Дмитриевка, ул. Бевз,11.</w:t>
      </w:r>
    </w:p>
    <w:p w:rsidR="009F7532" w:rsidRPr="009F7532" w:rsidRDefault="009F7532" w:rsidP="009F7532">
      <w:pPr>
        <w:autoSpaceDE w:val="0"/>
        <w:autoSpaceDN w:val="0"/>
        <w:adjustRightInd w:val="0"/>
        <w:ind w:firstLine="709"/>
        <w:jc w:val="both"/>
        <w:rPr>
          <w:sz w:val="28"/>
          <w:szCs w:val="28"/>
        </w:rPr>
      </w:pPr>
      <w:r w:rsidRPr="009F7532">
        <w:rPr>
          <w:sz w:val="28"/>
          <w:szCs w:val="28"/>
        </w:rPr>
        <w:t>График работы администрации Дмитриевского сельского поселения  Панинского муниципального района Воронежской области:</w:t>
      </w:r>
    </w:p>
    <w:p w:rsidR="009F7532" w:rsidRPr="009F7532" w:rsidRDefault="009F7532" w:rsidP="009F7532">
      <w:pPr>
        <w:autoSpaceDE w:val="0"/>
        <w:autoSpaceDN w:val="0"/>
        <w:adjustRightInd w:val="0"/>
        <w:ind w:firstLine="709"/>
        <w:jc w:val="both"/>
        <w:rPr>
          <w:sz w:val="28"/>
          <w:szCs w:val="28"/>
        </w:rPr>
      </w:pPr>
      <w:r w:rsidRPr="009F7532">
        <w:rPr>
          <w:sz w:val="28"/>
          <w:szCs w:val="28"/>
        </w:rPr>
        <w:t>понедельник - пятница: с 8-00 до 16-00; перерыв: с 12-00 до 13-00.</w:t>
      </w:r>
    </w:p>
    <w:p w:rsidR="009F7532" w:rsidRPr="009F7532" w:rsidRDefault="009F7532" w:rsidP="009F7532">
      <w:pPr>
        <w:autoSpaceDE w:val="0"/>
        <w:autoSpaceDN w:val="0"/>
        <w:adjustRightInd w:val="0"/>
        <w:ind w:firstLine="709"/>
        <w:jc w:val="both"/>
        <w:rPr>
          <w:sz w:val="28"/>
          <w:szCs w:val="28"/>
        </w:rPr>
      </w:pPr>
      <w:r w:rsidRPr="009F7532">
        <w:rPr>
          <w:sz w:val="28"/>
          <w:szCs w:val="28"/>
        </w:rPr>
        <w:t>Официальный сайт администрации Дмитриевского сельского поселения  Панинского муниципального района Воронежской области в сети Интернет: http://</w:t>
      </w:r>
      <w:r w:rsidRPr="009F7532">
        <w:rPr>
          <w:sz w:val="28"/>
          <w:szCs w:val="28"/>
          <w:lang w:val="en-US"/>
        </w:rPr>
        <w:t>dmitr</w:t>
      </w:r>
      <w:r w:rsidRPr="009F7532">
        <w:rPr>
          <w:sz w:val="28"/>
          <w:szCs w:val="28"/>
        </w:rPr>
        <w:t>-</w:t>
      </w:r>
      <w:r w:rsidRPr="009F7532">
        <w:rPr>
          <w:sz w:val="28"/>
          <w:szCs w:val="28"/>
          <w:lang w:val="en-US"/>
        </w:rPr>
        <w:t>pn</w:t>
      </w:r>
      <w:r w:rsidRPr="009F7532">
        <w:rPr>
          <w:sz w:val="28"/>
          <w:szCs w:val="28"/>
        </w:rPr>
        <w:t>.</w:t>
      </w:r>
      <w:r w:rsidRPr="009F7532">
        <w:rPr>
          <w:sz w:val="28"/>
          <w:szCs w:val="28"/>
          <w:lang w:val="en-US"/>
        </w:rPr>
        <w:t>ru</w:t>
      </w:r>
      <w:r w:rsidRPr="009F7532">
        <w:rPr>
          <w:sz w:val="28"/>
          <w:szCs w:val="28"/>
        </w:rPr>
        <w:t>.</w:t>
      </w:r>
    </w:p>
    <w:p w:rsidR="009F7532" w:rsidRPr="009F7532" w:rsidRDefault="009F7532" w:rsidP="009F7532">
      <w:pPr>
        <w:autoSpaceDE w:val="0"/>
        <w:autoSpaceDN w:val="0"/>
        <w:adjustRightInd w:val="0"/>
        <w:ind w:firstLine="709"/>
        <w:jc w:val="both"/>
        <w:rPr>
          <w:sz w:val="28"/>
          <w:szCs w:val="28"/>
        </w:rPr>
      </w:pPr>
      <w:r w:rsidRPr="009F7532">
        <w:rPr>
          <w:sz w:val="28"/>
          <w:szCs w:val="28"/>
        </w:rPr>
        <w:t xml:space="preserve">Адрес электронной почты администрации Дмитриевского сельского поселения  Панинского муниципального района Воронежской области: </w:t>
      </w:r>
      <w:r w:rsidRPr="009F7532">
        <w:rPr>
          <w:sz w:val="28"/>
          <w:szCs w:val="28"/>
          <w:lang w:val="en-US"/>
        </w:rPr>
        <w:t>dmitri</w:t>
      </w:r>
      <w:r w:rsidRPr="009F7532">
        <w:rPr>
          <w:sz w:val="28"/>
          <w:szCs w:val="28"/>
        </w:rPr>
        <w:t>.</w:t>
      </w:r>
      <w:r w:rsidRPr="009F7532">
        <w:rPr>
          <w:sz w:val="28"/>
          <w:szCs w:val="28"/>
          <w:lang w:val="en-US"/>
        </w:rPr>
        <w:t>panin</w:t>
      </w:r>
      <w:r w:rsidRPr="009F7532">
        <w:rPr>
          <w:sz w:val="28"/>
          <w:szCs w:val="28"/>
        </w:rPr>
        <w:t>@</w:t>
      </w:r>
      <w:r w:rsidRPr="009F7532">
        <w:rPr>
          <w:sz w:val="28"/>
          <w:szCs w:val="28"/>
          <w:lang w:val="en-US"/>
        </w:rPr>
        <w:t>govvrn</w:t>
      </w:r>
      <w:r w:rsidRPr="009F7532">
        <w:rPr>
          <w:sz w:val="28"/>
          <w:szCs w:val="28"/>
        </w:rPr>
        <w:t>.</w:t>
      </w:r>
      <w:r w:rsidRPr="009F7532">
        <w:rPr>
          <w:sz w:val="28"/>
          <w:szCs w:val="28"/>
          <w:lang w:val="en-US"/>
        </w:rPr>
        <w:t>ru</w:t>
      </w:r>
      <w:r w:rsidRPr="009F7532">
        <w:rPr>
          <w:sz w:val="28"/>
          <w:szCs w:val="28"/>
        </w:rPr>
        <w:t>.</w:t>
      </w:r>
    </w:p>
    <w:p w:rsidR="009F7532" w:rsidRPr="009F7532" w:rsidRDefault="009F7532" w:rsidP="009F7532">
      <w:pPr>
        <w:autoSpaceDE w:val="0"/>
        <w:autoSpaceDN w:val="0"/>
        <w:adjustRightInd w:val="0"/>
        <w:ind w:firstLine="709"/>
        <w:jc w:val="both"/>
        <w:rPr>
          <w:sz w:val="28"/>
          <w:szCs w:val="28"/>
        </w:rPr>
      </w:pPr>
      <w:r w:rsidRPr="009F7532">
        <w:rPr>
          <w:sz w:val="28"/>
          <w:szCs w:val="28"/>
        </w:rPr>
        <w:t>2. Телефоны для справок: (447344) 3-85-49.</w:t>
      </w:r>
    </w:p>
    <w:p w:rsidR="009F7532" w:rsidRPr="009F7532" w:rsidRDefault="009F7532" w:rsidP="009F7532">
      <w:pPr>
        <w:autoSpaceDE w:val="0"/>
        <w:autoSpaceDN w:val="0"/>
        <w:adjustRightInd w:val="0"/>
        <w:ind w:firstLine="709"/>
        <w:jc w:val="both"/>
        <w:rPr>
          <w:sz w:val="28"/>
          <w:szCs w:val="28"/>
        </w:rPr>
      </w:pPr>
      <w:r>
        <w:rPr>
          <w:sz w:val="28"/>
          <w:szCs w:val="28"/>
        </w:rPr>
        <w:t>3.</w:t>
      </w:r>
      <w:r w:rsidRPr="009F7532">
        <w:rPr>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9F7532" w:rsidRPr="009F7532" w:rsidRDefault="009F7532" w:rsidP="009F7532">
      <w:pPr>
        <w:autoSpaceDE w:val="0"/>
        <w:autoSpaceDN w:val="0"/>
        <w:adjustRightInd w:val="0"/>
        <w:ind w:firstLine="709"/>
        <w:jc w:val="both"/>
        <w:rPr>
          <w:sz w:val="28"/>
          <w:szCs w:val="28"/>
        </w:rPr>
      </w:pPr>
      <w:r w:rsidRPr="009F7532">
        <w:rPr>
          <w:sz w:val="28"/>
          <w:szCs w:val="28"/>
        </w:rPr>
        <w:t>3.1. Место нахождения АУ «МФЦ»: 394026, г. Воронеж, ул. Дружинников, 3б (Коминтерновский район).</w:t>
      </w:r>
    </w:p>
    <w:p w:rsidR="009F7532" w:rsidRPr="009F7532" w:rsidRDefault="009F7532" w:rsidP="009F7532">
      <w:pPr>
        <w:autoSpaceDE w:val="0"/>
        <w:autoSpaceDN w:val="0"/>
        <w:adjustRightInd w:val="0"/>
        <w:ind w:firstLine="709"/>
        <w:jc w:val="both"/>
        <w:rPr>
          <w:sz w:val="28"/>
          <w:szCs w:val="28"/>
        </w:rPr>
      </w:pPr>
      <w:r w:rsidRPr="009F7532">
        <w:rPr>
          <w:sz w:val="28"/>
          <w:szCs w:val="28"/>
        </w:rPr>
        <w:t>Телефон для справок АУ «МФЦ»: (473) 226-99-99.</w:t>
      </w:r>
    </w:p>
    <w:p w:rsidR="009F7532" w:rsidRPr="009F7532" w:rsidRDefault="009F7532" w:rsidP="009F7532">
      <w:pPr>
        <w:autoSpaceDE w:val="0"/>
        <w:autoSpaceDN w:val="0"/>
        <w:adjustRightInd w:val="0"/>
        <w:ind w:firstLine="709"/>
        <w:jc w:val="both"/>
        <w:rPr>
          <w:sz w:val="28"/>
          <w:szCs w:val="28"/>
        </w:rPr>
      </w:pPr>
      <w:r w:rsidRPr="009F7532">
        <w:rPr>
          <w:sz w:val="28"/>
          <w:szCs w:val="28"/>
        </w:rPr>
        <w:t>Официальный сайт АУ «МФЦ» в сети Интернет: mfc.vrn.ru.</w:t>
      </w:r>
    </w:p>
    <w:p w:rsidR="009F7532" w:rsidRPr="009F7532" w:rsidRDefault="009F7532" w:rsidP="009F7532">
      <w:pPr>
        <w:autoSpaceDE w:val="0"/>
        <w:autoSpaceDN w:val="0"/>
        <w:adjustRightInd w:val="0"/>
        <w:ind w:firstLine="709"/>
        <w:jc w:val="both"/>
        <w:rPr>
          <w:sz w:val="28"/>
          <w:szCs w:val="28"/>
        </w:rPr>
      </w:pPr>
      <w:r w:rsidRPr="009F7532">
        <w:rPr>
          <w:sz w:val="28"/>
          <w:szCs w:val="28"/>
        </w:rPr>
        <w:t>Адрес электронной почты АУ «МФЦ»: odno-okno@mail.ru.</w:t>
      </w:r>
    </w:p>
    <w:p w:rsidR="009F7532" w:rsidRPr="009F7532" w:rsidRDefault="009F7532" w:rsidP="009F7532">
      <w:pPr>
        <w:autoSpaceDE w:val="0"/>
        <w:autoSpaceDN w:val="0"/>
        <w:adjustRightInd w:val="0"/>
        <w:ind w:firstLine="709"/>
        <w:jc w:val="both"/>
        <w:rPr>
          <w:sz w:val="28"/>
          <w:szCs w:val="28"/>
        </w:rPr>
      </w:pPr>
      <w:r w:rsidRPr="009F7532">
        <w:rPr>
          <w:sz w:val="28"/>
          <w:szCs w:val="28"/>
        </w:rPr>
        <w:t>График работы АУ «МФЦ»: вторник, четверг, пятница: с 09.00 до 18.00; среда: с 11.00 до 20.00; суббота: с 09.00 до 16.45.</w:t>
      </w:r>
    </w:p>
    <w:p w:rsidR="009F7532" w:rsidRPr="009F7532" w:rsidRDefault="009F7532" w:rsidP="009F7532">
      <w:pPr>
        <w:autoSpaceDE w:val="0"/>
        <w:autoSpaceDN w:val="0"/>
        <w:adjustRightInd w:val="0"/>
        <w:ind w:firstLine="709"/>
        <w:jc w:val="both"/>
        <w:rPr>
          <w:rFonts w:eastAsia="SimSun"/>
          <w:sz w:val="28"/>
          <w:szCs w:val="28"/>
          <w:lang w:eastAsia="zh-CN"/>
        </w:rPr>
      </w:pPr>
      <w:r w:rsidRPr="009F7532">
        <w:rPr>
          <w:sz w:val="28"/>
          <w:szCs w:val="28"/>
        </w:rPr>
        <w:t>3.2. Место нахождения филиала АУ «МФЦ» в муниципальном районе:</w:t>
      </w:r>
      <w:r w:rsidRPr="009F7532">
        <w:rPr>
          <w:rFonts w:eastAsia="SimSun"/>
          <w:sz w:val="28"/>
          <w:szCs w:val="28"/>
          <w:lang w:eastAsia="zh-CN"/>
        </w:rPr>
        <w:t xml:space="preserve"> р.п.Панино, ул. Железнодорожная, д.58</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Телефон для справок филиала АУ «МФЦ»: 8(47344) 4-92-22.</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График работы филиала АУ «МФЦ»:</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 xml:space="preserve"> вторник, четверг, пятница: с 8-00 до 17-00, перерыв: с 12-00 до 12-45;</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среда: с 11-00 до 20-00, перерыв: с 15-00 до 15-45;</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суббота: с 8-00 до 15-45, перерыв: с 12-00 до 12-45;</w:t>
      </w:r>
    </w:p>
    <w:p w:rsidR="009F7532" w:rsidRPr="009F7532" w:rsidRDefault="009F7532" w:rsidP="009F7532">
      <w:pPr>
        <w:widowControl w:val="0"/>
        <w:tabs>
          <w:tab w:val="num" w:pos="0"/>
        </w:tabs>
        <w:suppressAutoHyphens/>
        <w:autoSpaceDE w:val="0"/>
        <w:ind w:firstLine="709"/>
        <w:contextualSpacing/>
        <w:jc w:val="both"/>
        <w:rPr>
          <w:sz w:val="28"/>
          <w:szCs w:val="28"/>
          <w:lang w:eastAsia="ar-SA"/>
        </w:rPr>
      </w:pPr>
      <w:r w:rsidRPr="009F7532">
        <w:rPr>
          <w:sz w:val="28"/>
          <w:szCs w:val="28"/>
          <w:lang w:eastAsia="ar-SA"/>
        </w:rPr>
        <w:t>выходной: воскресенье, понедельник.</w:t>
      </w:r>
    </w:p>
    <w:p w:rsidR="009F7532" w:rsidRPr="009F7532" w:rsidRDefault="009F7532" w:rsidP="009F7532">
      <w:pPr>
        <w:pStyle w:val="ConsPlusNormal"/>
        <w:rPr>
          <w:rFonts w:ascii="Times New Roman" w:hAnsi="Times New Roman" w:cs="Times New Roman"/>
          <w:sz w:val="28"/>
          <w:szCs w:val="28"/>
        </w:rPr>
      </w:pPr>
      <w:bookmarkStart w:id="8" w:name="P391"/>
      <w:bookmarkEnd w:id="8"/>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671"/>
      <w:bookmarkEnd w:id="9"/>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0" w:name="P713"/>
      <w:bookmarkEnd w:id="10"/>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кадастровыйномер  (в  случае  если  право  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1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1" w:name="P743"/>
      <w:bookmarkEnd w:id="11"/>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DE1FB6"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E27CA3" w:rsidRDefault="00E27CA3"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DE1FB6"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DE1FB6"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E27CA3" w:rsidRDefault="00E27CA3"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DE1FB6"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DE1FB6"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E27CA3" w:rsidRPr="00217F0F" w:rsidRDefault="00E27CA3"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E27CA3" w:rsidRPr="00217F0F" w:rsidRDefault="00E27CA3"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DE1FB6"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DE1FB6"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E27CA3" w:rsidRPr="00217F0F" w:rsidRDefault="00E27CA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E27CA3" w:rsidRPr="00217F0F" w:rsidRDefault="00E27CA3"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E27CA3" w:rsidRPr="00217F0F" w:rsidRDefault="00E27CA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DE1FB6"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DE1FB6"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E27CA3" w:rsidRPr="00217F0F" w:rsidRDefault="00E27CA3"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2" w:name="P788"/>
      <w:bookmarkEnd w:id="12"/>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8E2" w:rsidRDefault="006878E2" w:rsidP="00947BEE">
      <w:r>
        <w:separator/>
      </w:r>
    </w:p>
  </w:endnote>
  <w:endnote w:type="continuationSeparator" w:id="1">
    <w:p w:rsidR="006878E2" w:rsidRDefault="006878E2"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8E2" w:rsidRDefault="006878E2" w:rsidP="00947BEE">
      <w:r>
        <w:separator/>
      </w:r>
    </w:p>
  </w:footnote>
  <w:footnote w:type="continuationSeparator" w:id="1">
    <w:p w:rsidR="006878E2" w:rsidRDefault="006878E2" w:rsidP="00947BEE">
      <w:r>
        <w:continuationSeparator/>
      </w:r>
    </w:p>
  </w:footnote>
  <w:footnote w:id="2">
    <w:p w:rsidR="00E27CA3" w:rsidRPr="00BC1FA8" w:rsidRDefault="00E27CA3"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E27CA3" w:rsidRPr="00BC1FA8" w:rsidRDefault="00E27CA3"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E27CA3" w:rsidRDefault="00E27CA3"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E27CA3" w:rsidRDefault="00E27CA3"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66DA5"/>
    <w:rsid w:val="000C1BB2"/>
    <w:rsid w:val="000E5B30"/>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E266F"/>
    <w:rsid w:val="002E393A"/>
    <w:rsid w:val="00303BAF"/>
    <w:rsid w:val="00306B46"/>
    <w:rsid w:val="00351466"/>
    <w:rsid w:val="00355BDA"/>
    <w:rsid w:val="00356591"/>
    <w:rsid w:val="00386D3E"/>
    <w:rsid w:val="003B1221"/>
    <w:rsid w:val="003C78B1"/>
    <w:rsid w:val="004015CD"/>
    <w:rsid w:val="00426E30"/>
    <w:rsid w:val="00431DC8"/>
    <w:rsid w:val="00441904"/>
    <w:rsid w:val="00442112"/>
    <w:rsid w:val="004539AF"/>
    <w:rsid w:val="004855FD"/>
    <w:rsid w:val="004D41BD"/>
    <w:rsid w:val="005346B7"/>
    <w:rsid w:val="00594454"/>
    <w:rsid w:val="005B4CC3"/>
    <w:rsid w:val="00651E3A"/>
    <w:rsid w:val="0067780A"/>
    <w:rsid w:val="006878E2"/>
    <w:rsid w:val="00693150"/>
    <w:rsid w:val="006B04C8"/>
    <w:rsid w:val="00711C24"/>
    <w:rsid w:val="007521F3"/>
    <w:rsid w:val="00762FA2"/>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9F7532"/>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A1352"/>
    <w:rsid w:val="00DA2280"/>
    <w:rsid w:val="00DE1FB6"/>
    <w:rsid w:val="00DE387B"/>
    <w:rsid w:val="00DE3E63"/>
    <w:rsid w:val="00E02083"/>
    <w:rsid w:val="00E27CA3"/>
    <w:rsid w:val="00E7710A"/>
    <w:rsid w:val="00E84C91"/>
    <w:rsid w:val="00E96C17"/>
    <w:rsid w:val="00EA1F8D"/>
    <w:rsid w:val="00EC733B"/>
    <w:rsid w:val="00EC7A35"/>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5"/>
        <o:r id="V:Rule12" type="connector" idref="#Прямая со стрелкой 16"/>
        <o:r id="V:Rule13" type="connector" idref="#Прямая со стрелкой 13"/>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805-CDFD-417F-BDE6-CCBF9773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8918</Words>
  <Characters>50838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Admin</cp:lastModifiedBy>
  <cp:revision>26</cp:revision>
  <cp:lastPrinted>2017-07-26T12:41:00Z</cp:lastPrinted>
  <dcterms:created xsi:type="dcterms:W3CDTF">2017-05-30T13:33:00Z</dcterms:created>
  <dcterms:modified xsi:type="dcterms:W3CDTF">2017-10-16T17:30:00Z</dcterms:modified>
</cp:coreProperties>
</file>