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12013F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2013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Совет народных депутатов </w:t>
      </w:r>
    </w:p>
    <w:p w:rsidR="007D3541" w:rsidRPr="0012013F" w:rsidRDefault="0012013F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proofErr w:type="spellStart"/>
      <w:r w:rsidRPr="0012013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Нижнекисляйского</w:t>
      </w:r>
      <w:proofErr w:type="spellEnd"/>
      <w:r w:rsidRPr="0012013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городского </w:t>
      </w:r>
      <w:r w:rsidR="007D3541" w:rsidRPr="0012013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поселения</w:t>
      </w:r>
    </w:p>
    <w:p w:rsidR="007D3541" w:rsidRPr="0012013F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2013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12013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</w:t>
      </w:r>
      <w:r w:rsidR="0012013F" w:rsidRPr="001201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26 мая </w:t>
      </w:r>
      <w:r w:rsidR="007A6417" w:rsidRPr="001201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2021</w:t>
      </w:r>
      <w:r w:rsidRPr="001201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</w:t>
      </w:r>
      <w:r w:rsidR="0012013F" w:rsidRPr="001201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ода</w:t>
      </w:r>
      <w:r w:rsidR="0012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201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№ </w:t>
      </w:r>
      <w:r w:rsidR="0012013F" w:rsidRPr="001201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40</w:t>
      </w:r>
    </w:p>
    <w:p w:rsidR="007D3541" w:rsidRPr="0012013F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12013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="0012013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</w:t>
      </w:r>
      <w:r w:rsidR="0012013F" w:rsidRPr="0012013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р.п. Нижний Кисляй</w:t>
      </w:r>
    </w:p>
    <w:p w:rsidR="0039544D" w:rsidRDefault="00800FE6" w:rsidP="00800FE6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рассмотрения и реализации инициативных проектов, а также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конкурсного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в </w:t>
      </w:r>
      <w:proofErr w:type="spellStart"/>
      <w:r w:rsidR="001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Нижнекисляйском</w:t>
      </w:r>
      <w:proofErr w:type="spellEnd"/>
      <w:r w:rsidR="001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 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D7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800FE6" w:rsidP="003954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4E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Нижнекисляйского</w:t>
      </w:r>
      <w:proofErr w:type="spellEnd"/>
      <w:r w:rsidR="004E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предложение прокуратуры Бутурлиновского района о принятии нормативного правового акта,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4B091D">
        <w:rPr>
          <w:rFonts w:ascii="Times New Roman" w:eastAsia="Calibri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39544D" w:rsidRDefault="00941D5A" w:rsidP="0039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рассмотрения и реализации инициативных проектов, а также проведения их конкурсного отбора в </w:t>
      </w:r>
      <w:proofErr w:type="spellStart"/>
      <w:r w:rsidR="004E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Нижнекисляйском</w:t>
      </w:r>
      <w:proofErr w:type="spellEnd"/>
      <w:r w:rsidR="004E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proofErr w:type="spellStart"/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E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EE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4E304C" w:rsidRPr="008405DD">
        <w:rPr>
          <w:rFonts w:ascii="Times New Roman" w:hAnsi="Times New Roman" w:cs="Times New Roman"/>
          <w:sz w:val="28"/>
          <w:szCs w:val="24"/>
        </w:rPr>
        <w:t xml:space="preserve">Вестнике правовых актов </w:t>
      </w:r>
      <w:proofErr w:type="spellStart"/>
      <w:r w:rsidR="004B091D">
        <w:rPr>
          <w:rFonts w:ascii="Times New Roman" w:hAnsi="Times New Roman" w:cs="Times New Roman"/>
          <w:sz w:val="28"/>
          <w:szCs w:val="24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4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</w:t>
      </w:r>
      <w:r w:rsidR="004E304C">
        <w:rPr>
          <w:rFonts w:ascii="Times New Roman" w:hAnsi="Times New Roman" w:cs="Times New Roman"/>
          <w:sz w:val="28"/>
          <w:szCs w:val="24"/>
        </w:rPr>
        <w:t>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4C" w:rsidRPr="0016041E" w:rsidRDefault="004E304C" w:rsidP="004E304C">
      <w:pPr>
        <w:pStyle w:val="FR1"/>
        <w:spacing w:before="0"/>
        <w:jc w:val="both"/>
      </w:pPr>
      <w:r w:rsidRPr="0016041E">
        <w:t xml:space="preserve">Глава </w:t>
      </w:r>
      <w:proofErr w:type="spellStart"/>
      <w:r w:rsidRPr="0016041E">
        <w:t>Нижнекисляйского</w:t>
      </w:r>
      <w:proofErr w:type="spellEnd"/>
      <w:r w:rsidRPr="0016041E">
        <w:t xml:space="preserve">  </w:t>
      </w:r>
    </w:p>
    <w:p w:rsidR="004E304C" w:rsidRPr="0016041E" w:rsidRDefault="004E304C" w:rsidP="004E304C">
      <w:pPr>
        <w:pStyle w:val="FR1"/>
        <w:spacing w:before="0"/>
        <w:jc w:val="both"/>
        <w:rPr>
          <w:sz w:val="24"/>
          <w:szCs w:val="24"/>
        </w:rPr>
      </w:pPr>
      <w:r w:rsidRPr="0016041E">
        <w:t xml:space="preserve">городского поселения                                                             С.А. </w:t>
      </w:r>
      <w:proofErr w:type="spellStart"/>
      <w:r w:rsidRPr="0016041E">
        <w:t>Заварзина</w:t>
      </w:r>
      <w:proofErr w:type="spellEnd"/>
    </w:p>
    <w:p w:rsidR="004E304C" w:rsidRPr="0016041E" w:rsidRDefault="004E304C" w:rsidP="004E304C">
      <w:pPr>
        <w:pStyle w:val="FR1"/>
        <w:spacing w:before="0"/>
        <w:rPr>
          <w:sz w:val="24"/>
          <w:szCs w:val="24"/>
        </w:rPr>
      </w:pPr>
    </w:p>
    <w:p w:rsidR="004E304C" w:rsidRPr="0016041E" w:rsidRDefault="004E304C" w:rsidP="004E304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>Председатель Совета</w:t>
      </w:r>
    </w:p>
    <w:p w:rsidR="0039544D" w:rsidRDefault="004E304C" w:rsidP="00F160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 xml:space="preserve">Народных депутатов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C9042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6041E">
        <w:rPr>
          <w:rFonts w:ascii="Times New Roman" w:hAnsi="Times New Roman"/>
          <w:sz w:val="28"/>
          <w:szCs w:val="28"/>
          <w:lang w:eastAsia="ar-SA"/>
        </w:rPr>
        <w:t>И.Н.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041E">
        <w:rPr>
          <w:rFonts w:ascii="Times New Roman" w:hAnsi="Times New Roman"/>
          <w:sz w:val="28"/>
          <w:szCs w:val="28"/>
          <w:lang w:eastAsia="ar-SA"/>
        </w:rPr>
        <w:t>Лапина</w:t>
      </w:r>
      <w:r w:rsidR="0039544D">
        <w:rPr>
          <w:rFonts w:ascii="Times New Roman" w:hAnsi="Times New Roman" w:cs="Times New Roman"/>
          <w:sz w:val="28"/>
          <w:szCs w:val="28"/>
        </w:rPr>
        <w:br w:type="page"/>
      </w:r>
    </w:p>
    <w:p w:rsidR="0039544D" w:rsidRPr="0039544D" w:rsidRDefault="0039544D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4E304C">
        <w:rPr>
          <w:rFonts w:ascii="Times New Roman" w:eastAsia="Calibri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4E3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>от «</w:t>
      </w:r>
      <w:r w:rsidR="004E304C">
        <w:rPr>
          <w:rFonts w:ascii="Times New Roman" w:eastAsia="Calibri" w:hAnsi="Times New Roman" w:cs="Times New Roman"/>
          <w:sz w:val="28"/>
          <w:szCs w:val="28"/>
        </w:rPr>
        <w:t>26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E304C">
        <w:rPr>
          <w:rFonts w:ascii="Times New Roman" w:eastAsia="Calibri" w:hAnsi="Times New Roman" w:cs="Times New Roman"/>
          <w:sz w:val="28"/>
          <w:szCs w:val="28"/>
        </w:rPr>
        <w:t>мая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 w:rsidR="004E304C">
        <w:rPr>
          <w:rFonts w:ascii="Times New Roman" w:eastAsia="Calibri" w:hAnsi="Times New Roman" w:cs="Times New Roman"/>
          <w:sz w:val="28"/>
          <w:szCs w:val="28"/>
        </w:rPr>
        <w:t>40</w:t>
      </w:r>
    </w:p>
    <w:p w:rsidR="00CD575A" w:rsidRPr="00263DC1" w:rsidRDefault="00CD575A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44D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ПОРЯДОК РАССМОТРЕНИЯ И РЕАЛИЗАЦИИ ИНИЦИАТИВНЫХ ПРОЕКТОВ, А ТАКЖЕ ПРОВЕДЕНИЯ ИХ КОНКУРСНОГО ОТБОРА В </w:t>
      </w:r>
      <w:r w:rsidR="004E304C">
        <w:rPr>
          <w:rFonts w:ascii="Times New Roman" w:hAnsi="Times New Roman" w:cs="Times New Roman"/>
          <w:sz w:val="28"/>
          <w:szCs w:val="28"/>
        </w:rPr>
        <w:t>НИЖНЕКИСЛЯЙСКОМ ГОРОДСКОМ</w:t>
      </w:r>
      <w:r w:rsidR="004E304C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ПОСЕЛЕНИИ БУТУРЛИНОВСКОГО МУНИЦИПАЛЬНОГО РАЙОНА</w:t>
      </w:r>
      <w:r w:rsidR="004B091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800FE6" w:rsidRPr="00263DC1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427E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800FE6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D427E1">
        <w:rPr>
          <w:rFonts w:ascii="Times New Roman" w:hAnsi="Times New Roman" w:cs="Times New Roman"/>
          <w:sz w:val="28"/>
          <w:szCs w:val="28"/>
        </w:rPr>
        <w:t>Нижнекисляйском</w:t>
      </w:r>
      <w:proofErr w:type="spellEnd"/>
      <w:r w:rsidR="00D427E1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800FE6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427E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800FE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проведения мероприятий, имеющих приоритетное значение для жителей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00FE6">
        <w:rPr>
          <w:rFonts w:ascii="Times New Roman" w:hAnsi="Times New Roman" w:cs="Times New Roman"/>
          <w:sz w:val="28"/>
          <w:szCs w:val="28"/>
        </w:rPr>
        <w:t xml:space="preserve"> или его части, путем реализации инициативных проектов.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2.1. Под инициативным проектом в настоящем П</w:t>
      </w:r>
      <w:r w:rsidR="00D427E1">
        <w:rPr>
          <w:rFonts w:ascii="Times New Roman" w:hAnsi="Times New Roman" w:cs="Times New Roman"/>
          <w:sz w:val="28"/>
          <w:szCs w:val="28"/>
        </w:rPr>
        <w:t xml:space="preserve">орядке понимается предложение </w:t>
      </w:r>
      <w:r w:rsidRPr="00800FE6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D427E1">
        <w:rPr>
          <w:rFonts w:ascii="Times New Roman" w:hAnsi="Times New Roman" w:cs="Times New Roman"/>
          <w:sz w:val="28"/>
          <w:szCs w:val="28"/>
        </w:rPr>
        <w:t>городского</w:t>
      </w:r>
      <w:r w:rsidRPr="00800FE6">
        <w:rPr>
          <w:rFonts w:ascii="Times New Roman" w:hAnsi="Times New Roman" w:cs="Times New Roman"/>
          <w:sz w:val="28"/>
          <w:szCs w:val="28"/>
        </w:rPr>
        <w:t xml:space="preserve"> поселения о реализации мероприятий, имеющих приоритетное значение для жителей </w:t>
      </w:r>
      <w:r w:rsidR="00D427E1">
        <w:rPr>
          <w:rFonts w:ascii="Times New Roman" w:hAnsi="Times New Roman" w:cs="Times New Roman"/>
          <w:sz w:val="28"/>
          <w:szCs w:val="28"/>
        </w:rPr>
        <w:t>городского</w:t>
      </w:r>
      <w:r w:rsidRPr="00800FE6">
        <w:rPr>
          <w:rFonts w:ascii="Times New Roman" w:hAnsi="Times New Roman" w:cs="Times New Roman"/>
          <w:sz w:val="28"/>
          <w:szCs w:val="28"/>
        </w:rPr>
        <w:t xml:space="preserve"> поселения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7A32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или ее части, в границах которой будет реали</w:t>
      </w:r>
      <w:r w:rsidR="00F27A32">
        <w:rPr>
          <w:rFonts w:ascii="Times New Roman" w:hAnsi="Times New Roman" w:cs="Times New Roman"/>
          <w:sz w:val="28"/>
          <w:szCs w:val="28"/>
        </w:rPr>
        <w:t xml:space="preserve">зовываться инициативный проект; 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9) ориентировочное количество потенциальных</w:t>
      </w:r>
      <w:r w:rsidR="004B0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F27A32" w:rsidRDefault="00F27A32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27A32">
        <w:rPr>
          <w:rFonts w:ascii="Times New Roman" w:hAnsi="Times New Roman" w:cs="Times New Roman"/>
          <w:sz w:val="28"/>
          <w:szCs w:val="28"/>
        </w:rPr>
        <w:t xml:space="preserve"> поселения, на которой могут реализовываться инициативные проекты, устанавливается нормативным правовым актом Совета народных депутатов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27A3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091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F27A32">
        <w:rPr>
          <w:rFonts w:ascii="Times New Roman" w:hAnsi="Times New Roman" w:cs="Times New Roman"/>
          <w:sz w:val="28"/>
          <w:szCs w:val="28"/>
        </w:rPr>
        <w:t>.</w:t>
      </w:r>
    </w:p>
    <w:p w:rsid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 Инициаторы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27A32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староста </w:t>
      </w:r>
      <w:r w:rsidR="00243E44">
        <w:rPr>
          <w:rFonts w:ascii="Times New Roman" w:hAnsi="Times New Roman" w:cs="Times New Roman"/>
          <w:sz w:val="28"/>
          <w:szCs w:val="28"/>
        </w:rPr>
        <w:t>городского</w:t>
      </w:r>
      <w:r w:rsidRPr="00F27A32">
        <w:rPr>
          <w:rFonts w:ascii="Times New Roman" w:hAnsi="Times New Roman" w:cs="Times New Roman"/>
          <w:sz w:val="28"/>
          <w:szCs w:val="28"/>
        </w:rPr>
        <w:t xml:space="preserve"> населенного пункта (далее - инициаторы проекта).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.1 настоящего раздела: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</w:t>
      </w:r>
      <w:r w:rsidRPr="00DF4D41">
        <w:rPr>
          <w:rFonts w:ascii="Times New Roman" w:hAnsi="Times New Roman" w:cs="Times New Roman"/>
          <w:sz w:val="28"/>
          <w:szCs w:val="28"/>
        </w:rPr>
        <w:t xml:space="preserve">) вносят инициативный проект в администрацию </w:t>
      </w:r>
      <w:r w:rsidR="00DF4D41" w:rsidRPr="00DF4D41">
        <w:rPr>
          <w:rFonts w:ascii="Times New Roman" w:hAnsi="Times New Roman" w:cs="Times New Roman"/>
          <w:sz w:val="28"/>
          <w:szCs w:val="28"/>
        </w:rPr>
        <w:t>поселения</w:t>
      </w:r>
      <w:r w:rsidRPr="00DF4D41">
        <w:rPr>
          <w:rFonts w:ascii="Times New Roman" w:hAnsi="Times New Roman" w:cs="Times New Roman"/>
          <w:sz w:val="28"/>
          <w:szCs w:val="28"/>
        </w:rPr>
        <w:t>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участвуют в контроле за реализацией инициативного проекта;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</w:t>
      </w:r>
      <w:r w:rsidR="00DF4D41">
        <w:rPr>
          <w:rFonts w:ascii="Times New Roman" w:hAnsi="Times New Roman" w:cs="Times New Roman"/>
          <w:sz w:val="28"/>
          <w:szCs w:val="28"/>
        </w:rPr>
        <w:t xml:space="preserve">актами </w:t>
      </w:r>
      <w:proofErr w:type="spellStart"/>
      <w:r w:rsidR="0074017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74017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>.</w:t>
      </w:r>
    </w:p>
    <w:p w:rsidR="00800FE6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.3. Создание инициативной группы и принятие ею решений оформляется протоколом.</w:t>
      </w: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27A32">
        <w:rPr>
          <w:rFonts w:ascii="Times New Roman" w:hAnsi="Times New Roman" w:cs="Times New Roman"/>
          <w:sz w:val="28"/>
          <w:szCs w:val="28"/>
        </w:rPr>
        <w:t>. Выявление мнения граждан по вопросу о поддержке</w:t>
      </w:r>
      <w:r w:rsidR="004B091D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.1. Инициативный проект должен быть поддержан населением</w:t>
      </w:r>
      <w:r w:rsidR="004B0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27A32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Инициативный проект до его внесения в администрацию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27A32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27A32">
        <w:rPr>
          <w:rFonts w:ascii="Times New Roman" w:hAnsi="Times New Roman" w:cs="Times New Roman"/>
          <w:sz w:val="28"/>
          <w:szCs w:val="28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F27A32" w:rsidRDefault="00F27A32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 Собрание граждан по вопросам выдвижения</w:t>
      </w:r>
      <w:r w:rsidR="00243E44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Собрание проводится на части территории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27A32">
        <w:rPr>
          <w:rFonts w:ascii="Times New Roman" w:hAnsi="Times New Roman" w:cs="Times New Roman"/>
          <w:sz w:val="28"/>
          <w:szCs w:val="28"/>
        </w:rPr>
        <w:t xml:space="preserve">, в интересах жителей </w:t>
      </w:r>
      <w:r w:rsidR="00243E44">
        <w:rPr>
          <w:rFonts w:ascii="Times New Roman" w:hAnsi="Times New Roman" w:cs="Times New Roman"/>
          <w:sz w:val="28"/>
          <w:szCs w:val="28"/>
        </w:rPr>
        <w:t>городского</w:t>
      </w:r>
      <w:r w:rsidRPr="00F27A3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796B">
        <w:rPr>
          <w:rFonts w:ascii="Times New Roman" w:hAnsi="Times New Roman" w:cs="Times New Roman"/>
          <w:sz w:val="28"/>
          <w:szCs w:val="28"/>
        </w:rPr>
        <w:t xml:space="preserve">на </w:t>
      </w:r>
      <w:r w:rsidRPr="00F27A32">
        <w:rPr>
          <w:rFonts w:ascii="Times New Roman" w:hAnsi="Times New Roman" w:cs="Times New Roman"/>
          <w:sz w:val="28"/>
          <w:szCs w:val="28"/>
        </w:rPr>
        <w:t xml:space="preserve">которой планируется реализация инициативного проекта. Если реализация инициативного проекта планируется в интересах населения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27A32">
        <w:rPr>
          <w:rFonts w:ascii="Times New Roman" w:hAnsi="Times New Roman" w:cs="Times New Roman"/>
          <w:sz w:val="28"/>
          <w:szCs w:val="28"/>
        </w:rPr>
        <w:t xml:space="preserve"> в целом, может быть проведено несколько собраний на разных частях территории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27A32">
        <w:rPr>
          <w:rFonts w:ascii="Times New Roman" w:hAnsi="Times New Roman" w:cs="Times New Roman"/>
          <w:sz w:val="28"/>
          <w:szCs w:val="28"/>
        </w:rPr>
        <w:t>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.3. В собрании вправе принимать участие жители соответствующей территории, достигшие шестнадцатилетнего возраста.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.5. Расходы по проведению собрания, изготовлению и рассылке документов несет инициатор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.6. О проведении собрания (конференции) жители</w:t>
      </w:r>
      <w:r w:rsidR="00E3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27A32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705" w:rsidRDefault="00E35705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 Подготовка к проведению собрания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.1. В решении инициатора проекта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5) способы информирования жителей </w:t>
      </w:r>
      <w:r w:rsidR="00243E44">
        <w:rPr>
          <w:rFonts w:ascii="Times New Roman" w:hAnsi="Times New Roman" w:cs="Times New Roman"/>
          <w:sz w:val="28"/>
          <w:szCs w:val="28"/>
        </w:rPr>
        <w:t>городского</w:t>
      </w:r>
      <w:r w:rsidR="00E357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27A32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.2. Инициатор проекта направляет в администрацию</w:t>
      </w:r>
      <w:r w:rsidR="00E3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263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27A32" w:rsidRPr="00F27A32">
        <w:rPr>
          <w:rFonts w:ascii="Times New Roman" w:hAnsi="Times New Roman" w:cs="Times New Roman"/>
          <w:sz w:val="28"/>
          <w:szCs w:val="28"/>
        </w:rPr>
        <w:t>письменное уведомление о проведении собрания не позднее 10 дней до дня его проведения.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.3. В уведомлении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2) сведения, предусмотренные пунктом </w:t>
      </w:r>
      <w:r w:rsidR="002263F1"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.1;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.5. При наличии просьбы о предоставлении помещения для проведения собрания администрация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2F07C8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2F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трехдневный срок со дня поступления уведомления о </w:t>
      </w:r>
      <w:r w:rsidR="00F27A32" w:rsidRPr="00F27A32">
        <w:rPr>
          <w:rFonts w:ascii="Times New Roman" w:hAnsi="Times New Roman" w:cs="Times New Roman"/>
          <w:sz w:val="28"/>
          <w:szCs w:val="28"/>
        </w:rPr>
        <w:lastRenderedPageBreak/>
        <w:t>проведении собрания. Одновременно граждане информируются о возможности представления в администрацию</w:t>
      </w:r>
      <w:r w:rsidR="002F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D326D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F27A32" w:rsidRDefault="00F27A32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 Порядок проведения собрания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.3. Собрание открывается представителем инициатора проекта. Для ведения собрания избираются председатель и секретарь.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.6. В протоколе собрания указываются: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 Проведение конференции граждан по вопросам</w:t>
      </w:r>
      <w:r w:rsidR="00F46E45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>выдвижения инициативных проектов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6E45">
        <w:rPr>
          <w:rFonts w:ascii="Times New Roman" w:hAnsi="Times New Roman" w:cs="Times New Roman"/>
          <w:sz w:val="28"/>
          <w:szCs w:val="28"/>
        </w:rPr>
        <w:t xml:space="preserve">.1. В случае, если число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D427E1">
        <w:rPr>
          <w:rFonts w:ascii="Times New Roman" w:hAnsi="Times New Roman" w:cs="Times New Roman"/>
          <w:sz w:val="28"/>
          <w:szCs w:val="28"/>
        </w:rPr>
        <w:t>городского</w:t>
      </w:r>
      <w:r w:rsidRPr="002263F1">
        <w:rPr>
          <w:rFonts w:ascii="Times New Roman" w:hAnsi="Times New Roman" w:cs="Times New Roman"/>
          <w:sz w:val="28"/>
          <w:szCs w:val="28"/>
        </w:rPr>
        <w:t xml:space="preserve"> поселения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263F1">
        <w:rPr>
          <w:rFonts w:ascii="Times New Roman" w:hAnsi="Times New Roman" w:cs="Times New Roman"/>
          <w:sz w:val="28"/>
          <w:szCs w:val="28"/>
        </w:rPr>
        <w:t>.2. Выборы и выдвижение делегатов на конфе</w:t>
      </w:r>
      <w:r w:rsidR="00F46E45">
        <w:rPr>
          <w:rFonts w:ascii="Times New Roman" w:hAnsi="Times New Roman" w:cs="Times New Roman"/>
          <w:sz w:val="28"/>
          <w:szCs w:val="28"/>
        </w:rPr>
        <w:t xml:space="preserve">ренцию проводятся на собраниях </w:t>
      </w:r>
      <w:r w:rsidRPr="002263F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D427E1">
        <w:rPr>
          <w:rFonts w:ascii="Times New Roman" w:hAnsi="Times New Roman" w:cs="Times New Roman"/>
          <w:sz w:val="28"/>
          <w:szCs w:val="28"/>
        </w:rPr>
        <w:t>городского</w:t>
      </w:r>
      <w:r w:rsidRPr="002263F1">
        <w:rPr>
          <w:rFonts w:ascii="Times New Roman" w:hAnsi="Times New Roman" w:cs="Times New Roman"/>
          <w:sz w:val="28"/>
          <w:szCs w:val="28"/>
        </w:rPr>
        <w:t xml:space="preserve"> поселения группы </w:t>
      </w:r>
      <w:r w:rsidRPr="00DF4D41">
        <w:rPr>
          <w:rFonts w:ascii="Times New Roman" w:hAnsi="Times New Roman" w:cs="Times New Roman"/>
          <w:sz w:val="28"/>
          <w:szCs w:val="28"/>
        </w:rPr>
        <w:t>квартир, подъездов, дома или</w:t>
      </w:r>
      <w:r w:rsidRPr="002263F1">
        <w:rPr>
          <w:rFonts w:ascii="Times New Roman" w:hAnsi="Times New Roman" w:cs="Times New Roman"/>
          <w:sz w:val="28"/>
          <w:szCs w:val="28"/>
        </w:rPr>
        <w:t xml:space="preserve"> группы домов либо в форме сбора подписей за кандидата в делегаты конференции в подписных листах (приложение N 1 к Порядку).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 xml:space="preserve">.3. По инициативе жителей </w:t>
      </w:r>
      <w:r w:rsidR="00D427E1">
        <w:rPr>
          <w:rFonts w:ascii="Times New Roman" w:hAnsi="Times New Roman" w:cs="Times New Roman"/>
          <w:sz w:val="28"/>
          <w:szCs w:val="28"/>
        </w:rPr>
        <w:t>городского</w:t>
      </w:r>
      <w:r w:rsidRPr="002263F1">
        <w:rPr>
          <w:rFonts w:ascii="Times New Roman" w:hAnsi="Times New Roman" w:cs="Times New Roman"/>
          <w:sz w:val="28"/>
          <w:szCs w:val="28"/>
        </w:rPr>
        <w:t xml:space="preserve"> поселения, от которых выдвигается делегат на конференцию в соответствии с установленной настоящим Порядком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.4. Выборы делегатов считаются состоявшимися, если в г</w:t>
      </w:r>
      <w:r>
        <w:rPr>
          <w:rFonts w:ascii="Times New Roman" w:hAnsi="Times New Roman" w:cs="Times New Roman"/>
          <w:sz w:val="28"/>
          <w:szCs w:val="28"/>
        </w:rPr>
        <w:t xml:space="preserve">олосовании приняли участие 2/3 </w:t>
      </w:r>
      <w:r w:rsidRPr="002263F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243E44">
        <w:rPr>
          <w:rFonts w:ascii="Times New Roman" w:hAnsi="Times New Roman" w:cs="Times New Roman"/>
          <w:sz w:val="28"/>
          <w:szCs w:val="28"/>
        </w:rPr>
        <w:t>городского</w:t>
      </w:r>
      <w:r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DF4D41">
        <w:rPr>
          <w:rFonts w:ascii="Times New Roman" w:hAnsi="Times New Roman" w:cs="Times New Roman"/>
          <w:sz w:val="28"/>
          <w:szCs w:val="28"/>
        </w:rPr>
        <w:t>поселения</w:t>
      </w:r>
      <w:r w:rsidR="00F46E45" w:rsidRPr="00DF4D41">
        <w:rPr>
          <w:rFonts w:ascii="Times New Roman" w:hAnsi="Times New Roman" w:cs="Times New Roman"/>
          <w:sz w:val="28"/>
          <w:szCs w:val="28"/>
        </w:rPr>
        <w:t xml:space="preserve">, </w:t>
      </w:r>
      <w:r w:rsidRPr="00DF4D41">
        <w:rPr>
          <w:rFonts w:ascii="Times New Roman" w:hAnsi="Times New Roman" w:cs="Times New Roman"/>
          <w:sz w:val="28"/>
          <w:szCs w:val="28"/>
        </w:rPr>
        <w:t>квартир, подъездов,</w:t>
      </w:r>
      <w:r w:rsidRPr="002263F1">
        <w:rPr>
          <w:rFonts w:ascii="Times New Roman" w:hAnsi="Times New Roman" w:cs="Times New Roman"/>
          <w:sz w:val="28"/>
          <w:szCs w:val="28"/>
        </w:rPr>
        <w:t xml:space="preserve"> дома или группы домов, улицы, улиц, части населенного пункта, населенного пункта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.5. В решении инициатора проекта о проведении конференции должны быть также указаны: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4F701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7014">
        <w:rPr>
          <w:rFonts w:ascii="Times New Roman" w:hAnsi="Times New Roman" w:cs="Times New Roman"/>
          <w:sz w:val="28"/>
          <w:szCs w:val="28"/>
        </w:rPr>
        <w:t>ста пятидесяти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63F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243E44">
        <w:rPr>
          <w:rFonts w:ascii="Times New Roman" w:hAnsi="Times New Roman" w:cs="Times New Roman"/>
          <w:sz w:val="28"/>
          <w:szCs w:val="28"/>
        </w:rPr>
        <w:t>городского</w:t>
      </w:r>
      <w:r w:rsidR="00F46E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63F1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.6. Неотъемлемой частью протокола конференции являются протоколы собраний об избрании делегатов.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 Сбор подписей граждан в поддержку инициативных проектов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(конференции) граждан является сбор подписей в поддержку инициативного проекта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2107">
        <w:rPr>
          <w:rFonts w:ascii="Times New Roman" w:hAnsi="Times New Roman" w:cs="Times New Roman"/>
          <w:sz w:val="28"/>
          <w:szCs w:val="28"/>
        </w:rPr>
        <w:t xml:space="preserve">процентов жителей </w:t>
      </w:r>
      <w:r w:rsidR="00243E44">
        <w:rPr>
          <w:rFonts w:ascii="Times New Roman" w:hAnsi="Times New Roman" w:cs="Times New Roman"/>
          <w:sz w:val="28"/>
          <w:szCs w:val="28"/>
        </w:rPr>
        <w:t>городского</w:t>
      </w:r>
      <w:r w:rsidRPr="009F2107">
        <w:rPr>
          <w:rFonts w:ascii="Times New Roman" w:hAnsi="Times New Roman" w:cs="Times New Roman"/>
          <w:sz w:val="28"/>
          <w:szCs w:val="28"/>
        </w:rPr>
        <w:t xml:space="preserve"> поселения, проживающих на соответствующей территории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.2. Инициатива граждан о проведении собрания должна быть оформлена в виде подписных листов (приложение N 2 к Порядку).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lastRenderedPageBreak/>
        <w:t>4) житель вправе ставить подпись в поддержку одного и того же инициативного проекта только один раз;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9F2107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9F2107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263F1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9F2107" w:rsidRDefault="009F2107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>. Внесение инициативных проектов</w:t>
      </w:r>
      <w:r w:rsidR="00C94CE2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94CE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C94CE2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94CE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.1. При внесении инициативного проекта в администрацию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C94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.1, представляются в администрацию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 xml:space="preserve">непосредственно лицом, уполномоченным инициатором проекта взаимодействовать с администрацией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.3. Датой внесения проекта является день получения документов, указанных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 настоящего раздела, администрацией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9F2107" w:rsidRDefault="009F2107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E471EC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.2. Персональный состав комиссии определяется постановлением администрации</w:t>
      </w:r>
      <w:r w:rsidR="00C90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B6020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B602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.7. Член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.10. Инициаторам проекта и их представителям обеспечивается возможность участия в рассмотрении комиссией инициативных проектов и </w:t>
      </w:r>
      <w:r w:rsidRPr="00FB6020">
        <w:rPr>
          <w:rFonts w:ascii="Times New Roman" w:hAnsi="Times New Roman" w:cs="Times New Roman"/>
          <w:sz w:val="28"/>
          <w:szCs w:val="28"/>
        </w:rPr>
        <w:lastRenderedPageBreak/>
        <w:t>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.16. Секретарь комиссии не позднее одного рабочего дня, следующего за днем подписания протокола заседания комиссии, направляет его главе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.17. Организационно-техническое обеспечение деятельности комиссии осуществляет администрация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  <w:r w:rsidR="00C90798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.1. Инициативный проект рассматривается администрацией</w:t>
      </w:r>
      <w:r w:rsidR="00C90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Информация о внесении инициативного проекта в администрацию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Pr="0030740F">
        <w:rPr>
          <w:rFonts w:ascii="Times New Roman" w:hAnsi="Times New Roman" w:cs="Times New Roman"/>
          <w:sz w:val="28"/>
          <w:szCs w:val="28"/>
        </w:rPr>
        <w:t>«</w:t>
      </w:r>
      <w:r w:rsidR="0030740F" w:rsidRPr="0030740F">
        <w:rPr>
          <w:rFonts w:ascii="Times New Roman" w:hAnsi="Times New Roman" w:cs="Times New Roman"/>
          <w:sz w:val="28"/>
          <w:szCs w:val="24"/>
        </w:rPr>
        <w:t xml:space="preserve">Вестнике правовых актов </w:t>
      </w:r>
      <w:proofErr w:type="spellStart"/>
      <w:r w:rsidR="0030740F" w:rsidRPr="0030740F">
        <w:rPr>
          <w:rFonts w:ascii="Times New Roman" w:hAnsi="Times New Roman" w:cs="Times New Roman"/>
          <w:sz w:val="28"/>
          <w:szCs w:val="24"/>
        </w:rPr>
        <w:t>Нижнекисляйского</w:t>
      </w:r>
      <w:proofErr w:type="spellEnd"/>
      <w:r w:rsidR="0030740F" w:rsidRPr="0030740F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proofErr w:type="spellStart"/>
      <w:r w:rsidR="0030740F" w:rsidRPr="0030740F">
        <w:rPr>
          <w:rFonts w:ascii="Times New Roman" w:hAnsi="Times New Roman" w:cs="Times New Roman"/>
          <w:sz w:val="28"/>
          <w:szCs w:val="24"/>
        </w:rPr>
        <w:t>Бутурлиновского</w:t>
      </w:r>
      <w:proofErr w:type="spellEnd"/>
      <w:r w:rsidR="0030740F" w:rsidRPr="0030740F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</w:t>
      </w:r>
      <w:r w:rsidRPr="0030740F">
        <w:rPr>
          <w:rFonts w:ascii="Times New Roman" w:hAnsi="Times New Roman" w:cs="Times New Roman"/>
          <w:sz w:val="28"/>
          <w:szCs w:val="28"/>
        </w:rPr>
        <w:t>»</w:t>
      </w:r>
      <w:r w:rsidRPr="00683A8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</w:t>
      </w:r>
      <w:r w:rsidR="004B091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A8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жителем непосредственно или направляются почтовым отправлением.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инициативного проекта комиссия рекомендует главе администрации</w:t>
      </w:r>
      <w:r w:rsidR="00A8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принять одно из решений,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В случае, если в администрацию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организовать проведение конкурсного отбора.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.6. Конкурсный отбор инициативных проектов организуется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.7. С учетом рекомендации комиссии или по результатам конкурсного отбора глава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683A8D">
        <w:rPr>
          <w:rFonts w:ascii="Times New Roman" w:hAnsi="Times New Roman" w:cs="Times New Roman"/>
          <w:sz w:val="28"/>
          <w:szCs w:val="28"/>
        </w:rPr>
        <w:t xml:space="preserve"> поселения принимает одно из следующих решений: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A8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(внесения изменений в решение о бюджете</w:t>
      </w:r>
      <w:r w:rsidR="00A8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>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7DD0">
        <w:rPr>
          <w:rFonts w:ascii="Times New Roman" w:hAnsi="Times New Roman" w:cs="Times New Roman"/>
          <w:sz w:val="28"/>
          <w:szCs w:val="28"/>
        </w:rPr>
        <w:t>.8. Глава</w:t>
      </w:r>
      <w:r w:rsidRPr="00683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683A8D">
        <w:rPr>
          <w:rFonts w:ascii="Times New Roman" w:hAnsi="Times New Roman" w:cs="Times New Roman"/>
          <w:sz w:val="28"/>
          <w:szCs w:val="28"/>
        </w:rPr>
        <w:t xml:space="preserve"> поселения принимает решение об отказе в поддержке инициативного проекта в одном из следующих случаев: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>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.10. Администрация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подпунктом 5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 настоящего раздела, обязана предложить инициаторам проекта совместно </w:t>
      </w:r>
      <w:r w:rsidRPr="00DF4D41">
        <w:rPr>
          <w:rFonts w:ascii="Times New Roman" w:hAnsi="Times New Roman" w:cs="Times New Roman"/>
          <w:sz w:val="28"/>
          <w:szCs w:val="28"/>
        </w:rPr>
        <w:t>доработать инициативный проект, а также рекомендовать представить его на рассмотрение органа местного самоуправления иного</w:t>
      </w:r>
      <w:r w:rsidR="00A87DD0" w:rsidRPr="00DF4D41">
        <w:rPr>
          <w:rFonts w:ascii="Times New Roman" w:hAnsi="Times New Roman" w:cs="Times New Roman"/>
          <w:sz w:val="28"/>
          <w:szCs w:val="28"/>
        </w:rPr>
        <w:t xml:space="preserve"> </w:t>
      </w:r>
      <w:r w:rsidR="00DF4D41" w:rsidRPr="00DF4D41">
        <w:rPr>
          <w:rFonts w:ascii="Times New Roman" w:hAnsi="Times New Roman" w:cs="Times New Roman"/>
          <w:sz w:val="28"/>
          <w:szCs w:val="28"/>
        </w:rPr>
        <w:t>сельского</w:t>
      </w:r>
      <w:r w:rsidRPr="00DF4D41">
        <w:rPr>
          <w:rFonts w:ascii="Times New Roman" w:hAnsi="Times New Roman" w:cs="Times New Roman"/>
          <w:sz w:val="28"/>
          <w:szCs w:val="28"/>
        </w:rPr>
        <w:t xml:space="preserve"> поселения или муниципального района, или государственного органа в соответствии с их компетенцией.</w:t>
      </w:r>
      <w:r w:rsidRPr="00683A8D">
        <w:rPr>
          <w:rFonts w:ascii="Times New Roman" w:hAnsi="Times New Roman" w:cs="Times New Roman"/>
          <w:sz w:val="28"/>
          <w:szCs w:val="28"/>
        </w:rPr>
        <w:t xml:space="preserve"> Для доработки проекта комиссия образует рабочую группу из числа членов комиссии, представителей администрации</w:t>
      </w:r>
      <w:r w:rsidR="00A8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.1. Реализация инициативных проектов осуществляется на условиях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Инициатор проекта до начала его реализации за счет средств </w:t>
      </w:r>
      <w:r w:rsidR="0074017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бюджета обеспечивает внесение инициативных платежей в доход бюджета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683A8D">
        <w:rPr>
          <w:rFonts w:ascii="Times New Roman" w:hAnsi="Times New Roman" w:cs="Times New Roman"/>
          <w:sz w:val="28"/>
          <w:szCs w:val="28"/>
        </w:rPr>
        <w:t xml:space="preserve"> поселения на основании договора пожертвования, заключенного с администрацией</w:t>
      </w:r>
      <w:r w:rsidR="0091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683A8D">
        <w:rPr>
          <w:rFonts w:ascii="Times New Roman" w:hAnsi="Times New Roman" w:cs="Times New Roman"/>
          <w:sz w:val="28"/>
          <w:szCs w:val="28"/>
        </w:rPr>
        <w:t xml:space="preserve"> поселения, и (или) заключает с администрацией</w:t>
      </w:r>
      <w:r w:rsidR="0091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683A8D">
        <w:rPr>
          <w:rFonts w:ascii="Times New Roman" w:hAnsi="Times New Roman" w:cs="Times New Roman"/>
          <w:sz w:val="28"/>
          <w:szCs w:val="28"/>
        </w:rPr>
        <w:t xml:space="preserve">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администрации</w:t>
      </w:r>
      <w:r w:rsidR="002A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lastRenderedPageBreak/>
        <w:t>4) наименование заказчика, застройщика;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 Порядок расчета и возврата сумм инициативных платежей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D3CE5">
        <w:rPr>
          <w:rFonts w:ascii="Times New Roman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.3. Инициаторы проекта предоставляют заявление на возврат денежных средств с указанием банковских реквизитов в администрацию</w:t>
      </w:r>
      <w:r w:rsidR="00AC2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D3CE5">
        <w:rPr>
          <w:rFonts w:ascii="Times New Roman" w:hAnsi="Times New Roman" w:cs="Times New Roman"/>
          <w:sz w:val="28"/>
          <w:szCs w:val="28"/>
        </w:rPr>
        <w:t xml:space="preserve"> поселения в целях возврата инициативных платежей.</w:t>
      </w:r>
    </w:p>
    <w:p w:rsidR="00FB6020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proofErr w:type="spellStart"/>
      <w:r w:rsidR="004E304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E304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D3CE5">
        <w:rPr>
          <w:rFonts w:ascii="Times New Roman" w:hAnsi="Times New Roman" w:cs="Times New Roman"/>
          <w:sz w:val="28"/>
          <w:szCs w:val="28"/>
        </w:rPr>
        <w:t xml:space="preserve"> поселения в течение 5 рабочих дней со дня поступления заявления осуществляет возврат денежных средств.</w:t>
      </w:r>
    </w:p>
    <w:p w:rsidR="00FB6020" w:rsidRDefault="00FB6020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 Порядок опубликования и размещенияв информационно-коммуникационной сети "Интернет"информации об инициативном проекте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.1. Информация о рассмотрении инициативного проекта администрацией</w:t>
      </w:r>
      <w:r w:rsidR="00AC2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D3CE5">
        <w:rPr>
          <w:rFonts w:ascii="Times New Roman" w:hAnsi="Times New Roman" w:cs="Times New Roman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«</w:t>
      </w:r>
      <w:r w:rsidR="00AC2936" w:rsidRPr="008405DD">
        <w:rPr>
          <w:rFonts w:ascii="Times New Roman" w:hAnsi="Times New Roman" w:cs="Times New Roman"/>
          <w:sz w:val="28"/>
          <w:szCs w:val="24"/>
        </w:rPr>
        <w:t xml:space="preserve">Вестнике правовых актов </w:t>
      </w:r>
      <w:proofErr w:type="spellStart"/>
      <w:r w:rsidR="00AC2936">
        <w:rPr>
          <w:rFonts w:ascii="Times New Roman" w:hAnsi="Times New Roman" w:cs="Times New Roman"/>
          <w:sz w:val="28"/>
          <w:szCs w:val="24"/>
        </w:rPr>
        <w:t>Нижнекисляйского</w:t>
      </w:r>
      <w:proofErr w:type="spellEnd"/>
      <w:r w:rsidR="00AC2936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proofErr w:type="spellStart"/>
      <w:r w:rsidR="00AC2936">
        <w:rPr>
          <w:rFonts w:ascii="Times New Roman" w:hAnsi="Times New Roman" w:cs="Times New Roman"/>
          <w:sz w:val="28"/>
          <w:szCs w:val="24"/>
        </w:rPr>
        <w:t>Бутурлиновского</w:t>
      </w:r>
      <w:proofErr w:type="spellEnd"/>
      <w:r w:rsidR="00AC2936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</w:t>
      </w:r>
      <w:r w:rsidRPr="00FD3CE5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D3C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Отчет администрации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D3CE5"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Pr="00FD3CE5">
        <w:rPr>
          <w:rFonts w:ascii="Times New Roman" w:hAnsi="Times New Roman" w:cs="Times New Roman"/>
          <w:sz w:val="28"/>
          <w:szCs w:val="28"/>
        </w:rPr>
        <w:lastRenderedPageBreak/>
        <w:t>реализации инициативного проекта подлежит опубликованию в «</w:t>
      </w:r>
      <w:r w:rsidR="00AC2936" w:rsidRPr="008405DD">
        <w:rPr>
          <w:rFonts w:ascii="Times New Roman" w:hAnsi="Times New Roman" w:cs="Times New Roman"/>
          <w:sz w:val="28"/>
          <w:szCs w:val="24"/>
        </w:rPr>
        <w:t xml:space="preserve">Вестнике правовых актов </w:t>
      </w:r>
      <w:proofErr w:type="spellStart"/>
      <w:r w:rsidR="00AC2936">
        <w:rPr>
          <w:rFonts w:ascii="Times New Roman" w:hAnsi="Times New Roman" w:cs="Times New Roman"/>
          <w:sz w:val="28"/>
          <w:szCs w:val="24"/>
        </w:rPr>
        <w:t>Нижнекисляйского</w:t>
      </w:r>
      <w:proofErr w:type="spellEnd"/>
      <w:r w:rsidR="00AC2936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proofErr w:type="spellStart"/>
      <w:r w:rsidR="00AC2936">
        <w:rPr>
          <w:rFonts w:ascii="Times New Roman" w:hAnsi="Times New Roman" w:cs="Times New Roman"/>
          <w:sz w:val="28"/>
          <w:szCs w:val="24"/>
        </w:rPr>
        <w:t>Бутурлиновского</w:t>
      </w:r>
      <w:proofErr w:type="spellEnd"/>
      <w:r w:rsidR="00AC2936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</w:t>
      </w:r>
      <w:r w:rsidRPr="00FD3CE5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91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B09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D3C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D3CE5" w:rsidRDefault="00FD3CE5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Default="00DF4D41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 1к Порядку</w:t>
      </w:r>
      <w:r w:rsidR="00AC2936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>выдвижения, внесения,</w:t>
      </w:r>
      <w:r w:rsidR="00AC2936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>обсуждения и рассмотрения</w:t>
      </w:r>
      <w:r w:rsidR="00AC2936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AC2936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2936">
        <w:rPr>
          <w:rFonts w:ascii="Times New Roman" w:hAnsi="Times New Roman" w:cs="Times New Roman"/>
          <w:sz w:val="28"/>
          <w:szCs w:val="28"/>
        </w:rPr>
        <w:t>Нижнекисляйском</w:t>
      </w:r>
      <w:proofErr w:type="spellEnd"/>
      <w:r w:rsidR="00AC293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D3CE5" w:rsidRPr="00FD3CE5">
        <w:rPr>
          <w:rFonts w:ascii="Times New Roman" w:hAnsi="Times New Roman" w:cs="Times New Roman"/>
          <w:sz w:val="28"/>
          <w:szCs w:val="28"/>
        </w:rPr>
        <w:t>ском поселении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P295"/>
            <w:bookmarkEnd w:id="0"/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ПОДПИСНОЙ  ЛИСТ</w:t>
            </w: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(Ф.И.О., адрес делегата)</w:t>
            </w: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 xml:space="preserve">делегатом на конференцию  жителей </w:t>
            </w:r>
            <w:r w:rsidR="00D427E1" w:rsidRPr="00AC2936">
              <w:rPr>
                <w:rFonts w:ascii="Times New Roman" w:hAnsi="Times New Roman" w:cs="Times New Roman"/>
                <w:sz w:val="24"/>
                <w:szCs w:val="28"/>
              </w:rPr>
              <w:t>городского</w:t>
            </w: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 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(формулировка вопроса)</w:t>
            </w: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Дата, подпись</w:t>
            </w: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Подписной 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отчество, место жительства, серия, номер паспорта,</w:t>
            </w:r>
          </w:p>
          <w:p w:rsidR="00FD3CE5" w:rsidRPr="00AC2936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отчество, место жительства, серия, номер паспорта,</w:t>
            </w:r>
          </w:p>
          <w:p w:rsidR="00FD3CE5" w:rsidRPr="00AC2936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иного документа, удостоверяющего личность, уполномоченного</w:t>
            </w:r>
          </w:p>
          <w:p w:rsidR="00FD3CE5" w:rsidRPr="00AC2936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инициативной группы)</w:t>
            </w:r>
          </w:p>
        </w:tc>
      </w:tr>
      <w:tr w:rsidR="00FD3CE5" w:rsidRPr="00AC2936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E5" w:rsidRPr="00AC2936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AC2936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936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</w:tbl>
    <w:p w:rsidR="00FD3CE5" w:rsidRPr="00FD3CE5" w:rsidRDefault="00DF4D41" w:rsidP="00FD3CE5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</w:t>
      </w:r>
      <w:r w:rsidR="00842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842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842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842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D427E1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Нижнекисляйском</w:t>
      </w:r>
      <w:proofErr w:type="spellEnd"/>
      <w:r w:rsidR="00D42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городском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поселении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FD3CE5" w:rsidRPr="00842904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" w:name="P355"/>
            <w:bookmarkEnd w:id="1"/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ПОДПИСНОЙ  ЛИСТ</w:t>
            </w:r>
          </w:p>
        </w:tc>
      </w:tr>
      <w:tr w:rsidR="00FD3CE5" w:rsidRPr="00842904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Мы, нижеподписавшиеся, поддерживаем инициативу о выдвижении</w:t>
            </w:r>
          </w:p>
        </w:tc>
      </w:tr>
      <w:tr w:rsidR="00FD3CE5" w:rsidRPr="00842904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(сроки и предполагаемая территория проведения собрания граждан)</w:t>
            </w:r>
          </w:p>
        </w:tc>
      </w:tr>
      <w:tr w:rsidR="00FD3CE5" w:rsidRPr="00842904" w:rsidTr="00FD3CE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</w:t>
            </w:r>
          </w:p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Дата, подпись</w:t>
            </w:r>
          </w:p>
        </w:tc>
      </w:tr>
      <w:tr w:rsidR="00FD3CE5" w:rsidRPr="00842904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инициативной группы:</w:t>
            </w: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Подписной лист удостоверяю:</w:t>
            </w: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личность гражданина, собиравшего подписи)</w:t>
            </w: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3CE5" w:rsidRPr="00842904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842904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</w:p>
        </w:tc>
      </w:tr>
    </w:tbl>
    <w:p w:rsid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D3CE5" w:rsidRDefault="00DF4D41" w:rsidP="00DB29C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842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</w:t>
      </w:r>
      <w:r w:rsidR="00842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842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842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842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D427E1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Нижнекисляйском</w:t>
      </w:r>
      <w:proofErr w:type="spellEnd"/>
      <w:r w:rsidR="00D42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городском</w:t>
      </w:r>
      <w:r w:rsidR="00FD3CE5"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поселении</w:t>
      </w:r>
    </w:p>
    <w:p w:rsidR="00DB29C6" w:rsidRPr="00FD3CE5" w:rsidRDefault="00DB29C6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Pr="00FD3CE5" w:rsidRDefault="00FD3CE5" w:rsidP="00DB29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P419"/>
      <w:bookmarkEnd w:id="2"/>
      <w:r w:rsidRPr="00FD3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КРИТЕРИИОЦЕНКИ ИНИЦИАТИВНОГО ПРОЕКТА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Баллы по критерию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Актуальность проблемы: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в</w:t>
            </w:r>
            <w:bookmarkStart w:id="3" w:name="_GoBack"/>
            <w:bookmarkEnd w:id="3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 лет до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года до 3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Наличие мероприятий по содержанию и обслуживанию создаваемых объектов: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Охват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косвенных), которые получат пользу от реализации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300 до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100 до 200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 до 100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50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90%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50% до 89,9%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20% до 49,9%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19,9% от общего числа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Данный критерий определяется по формуле: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/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100%,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где: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- количество собранных подписей в поддержку проекта;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количество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смета планируемых расходов на реализацию </w:t>
            </w: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софинансирования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инициативного проекта гражданами: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баллов, присвоенных инициативному проекту по каждому из критериев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прошел конкурсный отбор/не прошел конкурсный отбор</w:t>
            </w:r>
          </w:p>
        </w:tc>
      </w:tr>
    </w:tbl>
    <w:p w:rsidR="00FD3CE5" w:rsidRPr="00FD3CE5" w:rsidRDefault="00FD3CE5" w:rsidP="00FF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D3CE5" w:rsidRPr="00FD3CE5" w:rsidSect="004E304C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62CAA"/>
    <w:rsid w:val="000D326D"/>
    <w:rsid w:val="000D4B62"/>
    <w:rsid w:val="000E3630"/>
    <w:rsid w:val="001012A5"/>
    <w:rsid w:val="00104011"/>
    <w:rsid w:val="0012013F"/>
    <w:rsid w:val="0012599C"/>
    <w:rsid w:val="0016419D"/>
    <w:rsid w:val="00180036"/>
    <w:rsid w:val="001844F9"/>
    <w:rsid w:val="00186750"/>
    <w:rsid w:val="001945F5"/>
    <w:rsid w:val="0019732E"/>
    <w:rsid w:val="0019780B"/>
    <w:rsid w:val="001B488E"/>
    <w:rsid w:val="001D3EA5"/>
    <w:rsid w:val="00214CCA"/>
    <w:rsid w:val="002263F1"/>
    <w:rsid w:val="00243E44"/>
    <w:rsid w:val="0025399C"/>
    <w:rsid w:val="00263DC1"/>
    <w:rsid w:val="002745F6"/>
    <w:rsid w:val="002A79EC"/>
    <w:rsid w:val="002B7AEA"/>
    <w:rsid w:val="002F07C8"/>
    <w:rsid w:val="00302F1D"/>
    <w:rsid w:val="0030740F"/>
    <w:rsid w:val="00330181"/>
    <w:rsid w:val="00350B23"/>
    <w:rsid w:val="00357A90"/>
    <w:rsid w:val="0039544D"/>
    <w:rsid w:val="003D6C15"/>
    <w:rsid w:val="003D72ED"/>
    <w:rsid w:val="00405F9D"/>
    <w:rsid w:val="00451A18"/>
    <w:rsid w:val="00465BC4"/>
    <w:rsid w:val="004771D0"/>
    <w:rsid w:val="004A03B9"/>
    <w:rsid w:val="004B091D"/>
    <w:rsid w:val="004B42AA"/>
    <w:rsid w:val="004D0039"/>
    <w:rsid w:val="004D1F07"/>
    <w:rsid w:val="004D523E"/>
    <w:rsid w:val="004E304C"/>
    <w:rsid w:val="004E4059"/>
    <w:rsid w:val="004F0F5F"/>
    <w:rsid w:val="004F54D8"/>
    <w:rsid w:val="004F7014"/>
    <w:rsid w:val="00526469"/>
    <w:rsid w:val="00535BBB"/>
    <w:rsid w:val="00556585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71500"/>
    <w:rsid w:val="006756EE"/>
    <w:rsid w:val="00683A8D"/>
    <w:rsid w:val="00684E0B"/>
    <w:rsid w:val="006B1754"/>
    <w:rsid w:val="006B2824"/>
    <w:rsid w:val="006E1418"/>
    <w:rsid w:val="007023AB"/>
    <w:rsid w:val="007038C3"/>
    <w:rsid w:val="00717017"/>
    <w:rsid w:val="0074017D"/>
    <w:rsid w:val="00774344"/>
    <w:rsid w:val="00791E83"/>
    <w:rsid w:val="007A0B99"/>
    <w:rsid w:val="007A3A7D"/>
    <w:rsid w:val="007A6417"/>
    <w:rsid w:val="007D3541"/>
    <w:rsid w:val="007E4BEE"/>
    <w:rsid w:val="007F2296"/>
    <w:rsid w:val="00800FE6"/>
    <w:rsid w:val="008279D0"/>
    <w:rsid w:val="00842904"/>
    <w:rsid w:val="00883728"/>
    <w:rsid w:val="008A17FE"/>
    <w:rsid w:val="008C74C8"/>
    <w:rsid w:val="009100B9"/>
    <w:rsid w:val="00915A37"/>
    <w:rsid w:val="00941A90"/>
    <w:rsid w:val="00941D5A"/>
    <w:rsid w:val="009672D9"/>
    <w:rsid w:val="00972CE0"/>
    <w:rsid w:val="009843B6"/>
    <w:rsid w:val="009B27F0"/>
    <w:rsid w:val="009F2107"/>
    <w:rsid w:val="00A034E8"/>
    <w:rsid w:val="00A32676"/>
    <w:rsid w:val="00A459AE"/>
    <w:rsid w:val="00A67B00"/>
    <w:rsid w:val="00A87DD0"/>
    <w:rsid w:val="00AA4DF6"/>
    <w:rsid w:val="00AB7364"/>
    <w:rsid w:val="00AC1792"/>
    <w:rsid w:val="00AC2936"/>
    <w:rsid w:val="00AC5454"/>
    <w:rsid w:val="00AC64B9"/>
    <w:rsid w:val="00B029D0"/>
    <w:rsid w:val="00B15140"/>
    <w:rsid w:val="00B4783F"/>
    <w:rsid w:val="00B53037"/>
    <w:rsid w:val="00B82FEF"/>
    <w:rsid w:val="00B90762"/>
    <w:rsid w:val="00BC796B"/>
    <w:rsid w:val="00BD3DCD"/>
    <w:rsid w:val="00BF4049"/>
    <w:rsid w:val="00C029AF"/>
    <w:rsid w:val="00C126E7"/>
    <w:rsid w:val="00C25F1F"/>
    <w:rsid w:val="00C43A8F"/>
    <w:rsid w:val="00C9042E"/>
    <w:rsid w:val="00C90798"/>
    <w:rsid w:val="00C94CE2"/>
    <w:rsid w:val="00CB00B7"/>
    <w:rsid w:val="00CB3BF7"/>
    <w:rsid w:val="00CC5500"/>
    <w:rsid w:val="00CD575A"/>
    <w:rsid w:val="00D35A07"/>
    <w:rsid w:val="00D3654C"/>
    <w:rsid w:val="00D427E1"/>
    <w:rsid w:val="00D6009A"/>
    <w:rsid w:val="00D739B2"/>
    <w:rsid w:val="00D91405"/>
    <w:rsid w:val="00DB03B5"/>
    <w:rsid w:val="00DB29C6"/>
    <w:rsid w:val="00DB4F27"/>
    <w:rsid w:val="00DC0AFA"/>
    <w:rsid w:val="00DD621D"/>
    <w:rsid w:val="00DF1C13"/>
    <w:rsid w:val="00DF4D41"/>
    <w:rsid w:val="00E03FA5"/>
    <w:rsid w:val="00E13774"/>
    <w:rsid w:val="00E35705"/>
    <w:rsid w:val="00E435AE"/>
    <w:rsid w:val="00E471EC"/>
    <w:rsid w:val="00E56660"/>
    <w:rsid w:val="00E66EFD"/>
    <w:rsid w:val="00E74C84"/>
    <w:rsid w:val="00E86654"/>
    <w:rsid w:val="00E907E6"/>
    <w:rsid w:val="00ED095B"/>
    <w:rsid w:val="00ED1FFB"/>
    <w:rsid w:val="00F01237"/>
    <w:rsid w:val="00F160DB"/>
    <w:rsid w:val="00F22A63"/>
    <w:rsid w:val="00F24ECF"/>
    <w:rsid w:val="00F27A32"/>
    <w:rsid w:val="00F46E45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4E304C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4871-7ACC-4AC8-B520-2B95345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6206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16</cp:revision>
  <cp:lastPrinted>2021-06-08T08:52:00Z</cp:lastPrinted>
  <dcterms:created xsi:type="dcterms:W3CDTF">2021-05-31T08:49:00Z</dcterms:created>
  <dcterms:modified xsi:type="dcterms:W3CDTF">2021-06-08T08:54:00Z</dcterms:modified>
</cp:coreProperties>
</file>