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D" w:rsidRPr="0061165C" w:rsidRDefault="002F6E8D" w:rsidP="002F6E8D">
      <w:pPr>
        <w:pStyle w:val="a5"/>
        <w:rPr>
          <w:sz w:val="28"/>
          <w:szCs w:val="28"/>
        </w:rPr>
      </w:pPr>
      <w:r w:rsidRPr="0057669A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5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СУХОДОНЕЦКОГО  СЕЛЬСКОГО ПОСЕЛЕНИЯ</w:t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2F6E8D" w:rsidRDefault="002F6E8D" w:rsidP="002F6E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F6E8D" w:rsidRDefault="002F6E8D" w:rsidP="002F6E8D">
      <w:pPr>
        <w:pStyle w:val="a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66641" w:rsidRDefault="00866641" w:rsidP="00A37B98">
      <w:pPr>
        <w:pStyle w:val="a3"/>
        <w:tabs>
          <w:tab w:val="left" w:pos="7809"/>
        </w:tabs>
        <w:ind w:firstLine="709"/>
        <w:jc w:val="both"/>
        <w:rPr>
          <w:rFonts w:ascii="Times New Roman" w:hAnsi="Times New Roman"/>
          <w:szCs w:val="28"/>
          <w:u w:val="single"/>
        </w:rPr>
      </w:pPr>
    </w:p>
    <w:p w:rsidR="00866641" w:rsidRDefault="00866641" w:rsidP="00A37B98">
      <w:pPr>
        <w:pStyle w:val="a3"/>
        <w:tabs>
          <w:tab w:val="left" w:pos="7809"/>
        </w:tabs>
        <w:ind w:firstLine="709"/>
        <w:jc w:val="both"/>
        <w:rPr>
          <w:rFonts w:ascii="Times New Roman" w:hAnsi="Times New Roman"/>
          <w:szCs w:val="28"/>
          <w:u w:val="single"/>
        </w:rPr>
      </w:pPr>
    </w:p>
    <w:p w:rsidR="001C5CB2" w:rsidRDefault="0017026F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</w:t>
      </w:r>
      <w:r w:rsidR="00962056">
        <w:rPr>
          <w:rFonts w:ascii="Times New Roman" w:hAnsi="Times New Roman"/>
          <w:szCs w:val="28"/>
        </w:rPr>
        <w:t>29»дека</w:t>
      </w:r>
      <w:r w:rsidR="005158D0">
        <w:rPr>
          <w:rFonts w:ascii="Times New Roman" w:hAnsi="Times New Roman"/>
          <w:szCs w:val="28"/>
        </w:rPr>
        <w:t>бря</w:t>
      </w:r>
      <w:r w:rsidR="00797AFE">
        <w:rPr>
          <w:rFonts w:ascii="Times New Roman" w:hAnsi="Times New Roman"/>
          <w:szCs w:val="28"/>
        </w:rPr>
        <w:t xml:space="preserve"> </w:t>
      </w:r>
      <w:r w:rsidR="005158D0">
        <w:rPr>
          <w:rFonts w:ascii="Times New Roman" w:hAnsi="Times New Roman"/>
          <w:szCs w:val="28"/>
        </w:rPr>
        <w:t>2021</w:t>
      </w:r>
      <w:r w:rsidR="00DD4836" w:rsidRPr="008E0947">
        <w:rPr>
          <w:rFonts w:ascii="Times New Roman" w:hAnsi="Times New Roman"/>
          <w:szCs w:val="28"/>
        </w:rPr>
        <w:t xml:space="preserve"> г. №</w:t>
      </w:r>
      <w:r w:rsidR="001C5CB2">
        <w:rPr>
          <w:rFonts w:ascii="Times New Roman" w:hAnsi="Times New Roman"/>
          <w:szCs w:val="28"/>
        </w:rPr>
        <w:t xml:space="preserve"> </w:t>
      </w:r>
      <w:r w:rsidR="00962056">
        <w:rPr>
          <w:rFonts w:ascii="Times New Roman" w:hAnsi="Times New Roman"/>
          <w:szCs w:val="28"/>
        </w:rPr>
        <w:t>45</w:t>
      </w:r>
    </w:p>
    <w:p w:rsidR="00866641" w:rsidRPr="001C5CB2" w:rsidRDefault="00A37B98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8E0947">
        <w:rPr>
          <w:rFonts w:ascii="Times New Roman" w:hAnsi="Times New Roman"/>
          <w:sz w:val="24"/>
          <w:szCs w:val="24"/>
        </w:rPr>
        <w:t xml:space="preserve"> </w:t>
      </w:r>
      <w:r w:rsidR="006467A0">
        <w:rPr>
          <w:rFonts w:ascii="Times New Roman" w:hAnsi="Times New Roman"/>
          <w:sz w:val="24"/>
          <w:szCs w:val="24"/>
        </w:rPr>
        <w:t xml:space="preserve">    </w:t>
      </w:r>
      <w:r w:rsidR="000E5128" w:rsidRPr="008E0947">
        <w:rPr>
          <w:rFonts w:ascii="Times New Roman" w:hAnsi="Times New Roman"/>
          <w:sz w:val="24"/>
          <w:szCs w:val="24"/>
        </w:rPr>
        <w:t xml:space="preserve">с. </w:t>
      </w:r>
      <w:r w:rsidR="00172C03">
        <w:rPr>
          <w:rFonts w:ascii="Times New Roman" w:hAnsi="Times New Roman"/>
          <w:sz w:val="24"/>
          <w:szCs w:val="24"/>
        </w:rPr>
        <w:t>Сухой Донец</w:t>
      </w:r>
    </w:p>
    <w:p w:rsidR="00E81077" w:rsidRDefault="00E81077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 w:val="20"/>
        </w:rPr>
      </w:pPr>
    </w:p>
    <w:p w:rsidR="00E81077" w:rsidRDefault="00E81077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1"/>
      </w:tblGrid>
      <w:tr w:rsidR="00962056" w:rsidRPr="00962056" w:rsidTr="009F370E">
        <w:trPr>
          <w:trHeight w:val="2924"/>
        </w:trPr>
        <w:tc>
          <w:tcPr>
            <w:tcW w:w="5481" w:type="dxa"/>
          </w:tcPr>
          <w:p w:rsidR="00962056" w:rsidRPr="00962056" w:rsidRDefault="00962056" w:rsidP="00962056">
            <w:pPr>
              <w:pStyle w:val="a5"/>
              <w:ind w:right="-29"/>
              <w:jc w:val="left"/>
              <w:rPr>
                <w:b/>
                <w:sz w:val="28"/>
                <w:szCs w:val="28"/>
              </w:rPr>
            </w:pPr>
            <w:r w:rsidRPr="00962056">
              <w:rPr>
                <w:b/>
                <w:sz w:val="28"/>
                <w:szCs w:val="28"/>
              </w:rPr>
              <w:t xml:space="preserve">Об утверждении перечня </w:t>
            </w:r>
          </w:p>
          <w:p w:rsidR="00962056" w:rsidRPr="00962056" w:rsidRDefault="00962056" w:rsidP="00962056">
            <w:pPr>
              <w:pStyle w:val="a5"/>
              <w:ind w:right="-29"/>
              <w:jc w:val="left"/>
              <w:rPr>
                <w:b/>
                <w:sz w:val="28"/>
                <w:szCs w:val="28"/>
              </w:rPr>
            </w:pPr>
            <w:r w:rsidRPr="00962056">
              <w:rPr>
                <w:b/>
                <w:sz w:val="28"/>
                <w:szCs w:val="28"/>
              </w:rPr>
              <w:t>главных администраторов</w:t>
            </w:r>
          </w:p>
          <w:p w:rsidR="00962056" w:rsidRPr="00962056" w:rsidRDefault="00962056" w:rsidP="00962056">
            <w:pPr>
              <w:pStyle w:val="a5"/>
              <w:ind w:right="-29"/>
              <w:jc w:val="left"/>
              <w:rPr>
                <w:b/>
                <w:sz w:val="28"/>
                <w:szCs w:val="28"/>
              </w:rPr>
            </w:pPr>
            <w:r w:rsidRPr="00962056">
              <w:rPr>
                <w:b/>
                <w:sz w:val="28"/>
                <w:szCs w:val="28"/>
              </w:rPr>
              <w:t xml:space="preserve">источников финансирования </w:t>
            </w:r>
          </w:p>
          <w:p w:rsidR="00962056" w:rsidRPr="00962056" w:rsidRDefault="00962056" w:rsidP="00962056">
            <w:pPr>
              <w:pStyle w:val="a5"/>
              <w:ind w:right="-2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дефицита бюджета Суходоне</w:t>
            </w:r>
            <w:r w:rsidR="00A270F2">
              <w:rPr>
                <w:b/>
                <w:sz w:val="28"/>
                <w:szCs w:val="28"/>
              </w:rPr>
              <w:t>ц</w:t>
            </w:r>
            <w:r w:rsidRPr="00962056">
              <w:rPr>
                <w:b/>
                <w:sz w:val="28"/>
                <w:szCs w:val="28"/>
              </w:rPr>
              <w:t>кого сельского поселения Богучарского</w:t>
            </w:r>
          </w:p>
          <w:p w:rsidR="00962056" w:rsidRPr="00962056" w:rsidRDefault="00962056" w:rsidP="00962056">
            <w:pPr>
              <w:pStyle w:val="a5"/>
              <w:ind w:right="-29"/>
              <w:jc w:val="left"/>
              <w:rPr>
                <w:b/>
                <w:sz w:val="28"/>
                <w:szCs w:val="28"/>
              </w:rPr>
            </w:pPr>
            <w:r w:rsidRPr="00962056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962056" w:rsidRPr="00962056" w:rsidRDefault="00962056" w:rsidP="00962056">
            <w:pPr>
              <w:pStyle w:val="a5"/>
              <w:ind w:right="-29"/>
              <w:jc w:val="left"/>
              <w:rPr>
                <w:b/>
                <w:sz w:val="28"/>
                <w:szCs w:val="28"/>
              </w:rPr>
            </w:pPr>
            <w:r w:rsidRPr="00962056">
              <w:rPr>
                <w:b/>
                <w:sz w:val="28"/>
                <w:szCs w:val="28"/>
              </w:rPr>
              <w:t>Воронежской области</w:t>
            </w:r>
          </w:p>
          <w:p w:rsidR="00962056" w:rsidRPr="00962056" w:rsidRDefault="00962056" w:rsidP="00962056">
            <w:pPr>
              <w:pStyle w:val="a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056" w:rsidRPr="00962056" w:rsidRDefault="00A270F2" w:rsidP="00A270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056" w:rsidRPr="00962056">
        <w:rPr>
          <w:sz w:val="28"/>
          <w:szCs w:val="28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</w:t>
      </w:r>
      <w:proofErr w:type="gramStart"/>
      <w:r w:rsidR="00962056" w:rsidRPr="00962056">
        <w:rPr>
          <w:sz w:val="28"/>
          <w:szCs w:val="28"/>
        </w:rPr>
        <w:t>,п</w:t>
      </w:r>
      <w:proofErr w:type="gramEnd"/>
      <w:r w:rsidR="00962056" w:rsidRPr="00962056">
        <w:rPr>
          <w:sz w:val="28"/>
          <w:szCs w:val="28"/>
        </w:rPr>
        <w:t>унктом  4 статьи 160.2 Бюджетного кодекса Российской Федерации,</w:t>
      </w:r>
      <w:r w:rsidR="00962056">
        <w:rPr>
          <w:sz w:val="28"/>
          <w:szCs w:val="28"/>
        </w:rPr>
        <w:t xml:space="preserve"> </w:t>
      </w:r>
      <w:r w:rsidR="00962056" w:rsidRPr="00962056">
        <w:rPr>
          <w:sz w:val="28"/>
          <w:szCs w:val="28"/>
        </w:rPr>
        <w:t>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proofErr w:type="gramStart"/>
      <w:r w:rsidR="00962056" w:rsidRPr="00962056">
        <w:rPr>
          <w:sz w:val="28"/>
          <w:szCs w:val="28"/>
        </w:rPr>
        <w:t>,У</w:t>
      </w:r>
      <w:proofErr w:type="gramEnd"/>
      <w:r w:rsidR="00962056" w:rsidRPr="00962056">
        <w:rPr>
          <w:sz w:val="28"/>
          <w:szCs w:val="28"/>
        </w:rPr>
        <w:t xml:space="preserve">ставом </w:t>
      </w:r>
      <w:r w:rsidR="00962056">
        <w:rPr>
          <w:sz w:val="28"/>
          <w:szCs w:val="28"/>
        </w:rPr>
        <w:t>Суходонец</w:t>
      </w:r>
      <w:r w:rsidR="00962056" w:rsidRPr="00962056">
        <w:rPr>
          <w:sz w:val="28"/>
          <w:szCs w:val="28"/>
        </w:rPr>
        <w:t>кого сельского поселения  администрация</w:t>
      </w:r>
      <w:r w:rsidR="00962056">
        <w:rPr>
          <w:sz w:val="28"/>
          <w:szCs w:val="28"/>
        </w:rPr>
        <w:t xml:space="preserve"> Суходонец</w:t>
      </w:r>
      <w:r w:rsidR="00962056" w:rsidRPr="00962056">
        <w:rPr>
          <w:sz w:val="28"/>
          <w:szCs w:val="28"/>
        </w:rPr>
        <w:t>кого сельского поселения</w:t>
      </w:r>
      <w:r w:rsidR="00962056">
        <w:rPr>
          <w:sz w:val="28"/>
          <w:szCs w:val="28"/>
        </w:rPr>
        <w:t xml:space="preserve"> </w:t>
      </w:r>
      <w:r w:rsidR="00962056" w:rsidRPr="00962056">
        <w:rPr>
          <w:sz w:val="28"/>
          <w:szCs w:val="28"/>
        </w:rPr>
        <w:t>Богучарского муниципального района Воронежской области</w:t>
      </w:r>
      <w:r w:rsidR="00962056">
        <w:rPr>
          <w:sz w:val="28"/>
          <w:szCs w:val="28"/>
        </w:rPr>
        <w:t xml:space="preserve"> </w:t>
      </w:r>
      <w:r w:rsidR="00962056" w:rsidRPr="00962056">
        <w:rPr>
          <w:b/>
          <w:sz w:val="28"/>
          <w:szCs w:val="28"/>
        </w:rPr>
        <w:t>постановляет:</w:t>
      </w:r>
    </w:p>
    <w:p w:rsidR="00962056" w:rsidRPr="00962056" w:rsidRDefault="00962056" w:rsidP="00A270F2">
      <w:pPr>
        <w:jc w:val="both"/>
        <w:rPr>
          <w:b/>
          <w:sz w:val="28"/>
          <w:szCs w:val="28"/>
        </w:rPr>
      </w:pPr>
    </w:p>
    <w:p w:rsidR="00962056" w:rsidRPr="00962056" w:rsidRDefault="00962056" w:rsidP="00A270F2">
      <w:pPr>
        <w:jc w:val="both"/>
        <w:rPr>
          <w:sz w:val="28"/>
          <w:szCs w:val="28"/>
        </w:rPr>
      </w:pPr>
      <w:r w:rsidRPr="00962056">
        <w:rPr>
          <w:sz w:val="28"/>
          <w:szCs w:val="28"/>
        </w:rPr>
        <w:t xml:space="preserve">1. Утвердить Перечень главных </w:t>
      </w:r>
      <w:proofErr w:type="gramStart"/>
      <w:r w:rsidRPr="0096205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Суходонец</w:t>
      </w:r>
      <w:r w:rsidRPr="00962056">
        <w:rPr>
          <w:sz w:val="28"/>
          <w:szCs w:val="28"/>
        </w:rPr>
        <w:t>кого сельского поселения Богучарского муниципального района Воронежской области согласно приложению к данному постановлению.</w:t>
      </w:r>
    </w:p>
    <w:p w:rsidR="00962056" w:rsidRPr="00962056" w:rsidRDefault="00962056" w:rsidP="00A270F2">
      <w:pPr>
        <w:jc w:val="both"/>
        <w:rPr>
          <w:sz w:val="28"/>
          <w:szCs w:val="28"/>
        </w:rPr>
      </w:pPr>
      <w:r w:rsidRPr="00962056">
        <w:rPr>
          <w:sz w:val="28"/>
          <w:szCs w:val="28"/>
        </w:rPr>
        <w:t xml:space="preserve">2. </w:t>
      </w:r>
      <w:proofErr w:type="gramStart"/>
      <w:r w:rsidRPr="00962056">
        <w:rPr>
          <w:sz w:val="28"/>
          <w:szCs w:val="28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>
        <w:rPr>
          <w:sz w:val="28"/>
          <w:szCs w:val="28"/>
        </w:rPr>
        <w:t>Суходонец</w:t>
      </w:r>
      <w:r w:rsidRPr="00962056">
        <w:rPr>
          <w:sz w:val="28"/>
          <w:szCs w:val="28"/>
        </w:rPr>
        <w:t xml:space="preserve">кого сельского </w:t>
      </w:r>
      <w:r w:rsidRPr="00962056">
        <w:rPr>
          <w:sz w:val="28"/>
          <w:szCs w:val="28"/>
        </w:rPr>
        <w:lastRenderedPageBreak/>
        <w:t>поселения Богучарского муниципального района Воронежской области, а также изменения принципов назначения и присвоения структуры кодов классификации источников финансирования дефицита бюджета поселения, изменения в перечень главных администраторов  источников финансирования дефицита бюджета поселения, а также в состав закрепленных за главными администраторами источников финансирования дефицита бюджета поселения кодов</w:t>
      </w:r>
      <w:proofErr w:type="gramEnd"/>
      <w:r w:rsidRPr="00962056">
        <w:rPr>
          <w:sz w:val="28"/>
          <w:szCs w:val="28"/>
        </w:rPr>
        <w:t xml:space="preserve"> классификации  </w:t>
      </w:r>
      <w:proofErr w:type="gramStart"/>
      <w:r w:rsidRPr="00962056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962056">
        <w:rPr>
          <w:sz w:val="28"/>
          <w:szCs w:val="28"/>
        </w:rPr>
        <w:t xml:space="preserve"> вносятся Распоряжением администрации</w:t>
      </w:r>
      <w:r>
        <w:rPr>
          <w:sz w:val="28"/>
          <w:szCs w:val="28"/>
        </w:rPr>
        <w:t xml:space="preserve"> Суходонец</w:t>
      </w:r>
      <w:r w:rsidRPr="00962056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 w:rsidRPr="00962056">
        <w:rPr>
          <w:sz w:val="28"/>
          <w:szCs w:val="28"/>
        </w:rPr>
        <w:t xml:space="preserve">Богучарского муниципального района Воронежской области  без внесения изменений в Постановление администрации </w:t>
      </w:r>
      <w:r>
        <w:rPr>
          <w:sz w:val="28"/>
          <w:szCs w:val="28"/>
        </w:rPr>
        <w:t>Суходонец</w:t>
      </w:r>
      <w:r w:rsidRPr="00962056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 w:rsidRPr="00962056">
        <w:rPr>
          <w:sz w:val="28"/>
          <w:szCs w:val="28"/>
        </w:rPr>
        <w:t xml:space="preserve">Богучарского муниципального района, утверждающее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Суходонец</w:t>
      </w:r>
      <w:r w:rsidRPr="00962056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 w:rsidRPr="00962056">
        <w:rPr>
          <w:sz w:val="28"/>
          <w:szCs w:val="28"/>
        </w:rPr>
        <w:t>Богучарского муниципального района Воронежской области.</w:t>
      </w:r>
    </w:p>
    <w:p w:rsidR="00962056" w:rsidRPr="00962056" w:rsidRDefault="00962056" w:rsidP="00A270F2">
      <w:pPr>
        <w:jc w:val="both"/>
        <w:rPr>
          <w:sz w:val="28"/>
          <w:szCs w:val="28"/>
        </w:rPr>
      </w:pPr>
      <w:r w:rsidRPr="00962056">
        <w:rPr>
          <w:sz w:val="28"/>
          <w:szCs w:val="28"/>
        </w:rPr>
        <w:t>3.</w:t>
      </w:r>
      <w:r w:rsidRPr="00962056">
        <w:rPr>
          <w:sz w:val="28"/>
          <w:szCs w:val="28"/>
          <w:lang w:val="en-US"/>
        </w:rPr>
        <w:t> </w:t>
      </w:r>
      <w:r w:rsidRPr="00962056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 бюджета поселения, начиная с  бюджета на</w:t>
      </w:r>
      <w:r w:rsidRPr="00962056">
        <w:rPr>
          <w:sz w:val="28"/>
          <w:szCs w:val="28"/>
          <w:lang w:val="en-US"/>
        </w:rPr>
        <w:t> </w:t>
      </w:r>
      <w:r w:rsidRPr="00962056">
        <w:rPr>
          <w:sz w:val="28"/>
          <w:szCs w:val="28"/>
        </w:rPr>
        <w:t>2022 год и на плановый период</w:t>
      </w:r>
      <w:r w:rsidRPr="00962056">
        <w:rPr>
          <w:sz w:val="28"/>
          <w:szCs w:val="28"/>
          <w:lang w:val="en-US"/>
        </w:rPr>
        <w:t> </w:t>
      </w:r>
      <w:r w:rsidRPr="00962056">
        <w:rPr>
          <w:sz w:val="28"/>
          <w:szCs w:val="28"/>
        </w:rPr>
        <w:t>2023 и</w:t>
      </w:r>
      <w:r w:rsidRPr="00962056">
        <w:rPr>
          <w:sz w:val="28"/>
          <w:szCs w:val="28"/>
          <w:lang w:val="en-US"/>
        </w:rPr>
        <w:t> </w:t>
      </w:r>
      <w:r w:rsidRPr="00962056">
        <w:rPr>
          <w:sz w:val="28"/>
          <w:szCs w:val="28"/>
        </w:rPr>
        <w:t>2024 годов.</w:t>
      </w:r>
    </w:p>
    <w:p w:rsidR="00962056" w:rsidRPr="00962056" w:rsidRDefault="00962056" w:rsidP="00A270F2">
      <w:pPr>
        <w:jc w:val="both"/>
        <w:rPr>
          <w:sz w:val="28"/>
          <w:szCs w:val="28"/>
        </w:rPr>
      </w:pPr>
      <w:r w:rsidRPr="00962056">
        <w:rPr>
          <w:sz w:val="28"/>
          <w:szCs w:val="28"/>
        </w:rPr>
        <w:t xml:space="preserve">     4.</w:t>
      </w:r>
      <w:proofErr w:type="gramStart"/>
      <w:r w:rsidRPr="00962056">
        <w:rPr>
          <w:sz w:val="28"/>
          <w:szCs w:val="28"/>
        </w:rPr>
        <w:t>Контроль за</w:t>
      </w:r>
      <w:proofErr w:type="gramEnd"/>
      <w:r w:rsidRPr="009620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2056" w:rsidRPr="00962056" w:rsidRDefault="00962056" w:rsidP="00A270F2">
      <w:pPr>
        <w:jc w:val="both"/>
        <w:rPr>
          <w:sz w:val="28"/>
          <w:szCs w:val="28"/>
        </w:rPr>
      </w:pPr>
    </w:p>
    <w:p w:rsidR="00962056" w:rsidRPr="00962056" w:rsidRDefault="00962056" w:rsidP="00A270F2">
      <w:pPr>
        <w:jc w:val="both"/>
        <w:rPr>
          <w:sz w:val="28"/>
          <w:szCs w:val="28"/>
        </w:rPr>
      </w:pPr>
    </w:p>
    <w:p w:rsidR="00962056" w:rsidRPr="00962056" w:rsidRDefault="00962056" w:rsidP="00A270F2">
      <w:pPr>
        <w:jc w:val="both"/>
        <w:rPr>
          <w:sz w:val="28"/>
          <w:szCs w:val="28"/>
        </w:rPr>
      </w:pPr>
    </w:p>
    <w:p w:rsidR="00962056" w:rsidRPr="00962056" w:rsidRDefault="00962056" w:rsidP="00A270F2">
      <w:pPr>
        <w:jc w:val="both"/>
        <w:rPr>
          <w:sz w:val="28"/>
          <w:szCs w:val="28"/>
        </w:rPr>
      </w:pPr>
    </w:p>
    <w:p w:rsidR="00962056" w:rsidRPr="00962056" w:rsidRDefault="00962056" w:rsidP="00A270F2">
      <w:pPr>
        <w:jc w:val="both"/>
        <w:rPr>
          <w:sz w:val="28"/>
          <w:szCs w:val="28"/>
        </w:rPr>
      </w:pPr>
      <w:r w:rsidRPr="0096205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Суходонец</w:t>
      </w:r>
      <w:r w:rsidRPr="00962056">
        <w:rPr>
          <w:sz w:val="28"/>
          <w:szCs w:val="28"/>
        </w:rPr>
        <w:t>кого</w:t>
      </w:r>
    </w:p>
    <w:p w:rsidR="00962056" w:rsidRPr="00962056" w:rsidRDefault="00962056" w:rsidP="00A270F2">
      <w:pPr>
        <w:jc w:val="both"/>
        <w:rPr>
          <w:sz w:val="28"/>
          <w:szCs w:val="28"/>
        </w:rPr>
      </w:pPr>
      <w:r w:rsidRPr="0096205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С.В. Марочкин</w:t>
      </w: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spacing w:line="360" w:lineRule="auto"/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Default="00962056" w:rsidP="00962056">
      <w:pPr>
        <w:outlineLvl w:val="1"/>
        <w:rPr>
          <w:sz w:val="28"/>
          <w:szCs w:val="28"/>
        </w:rPr>
      </w:pPr>
    </w:p>
    <w:p w:rsidR="00962056" w:rsidRPr="00962056" w:rsidRDefault="00962056" w:rsidP="00962056">
      <w:pPr>
        <w:jc w:val="right"/>
        <w:outlineLvl w:val="1"/>
        <w:rPr>
          <w:sz w:val="28"/>
          <w:szCs w:val="28"/>
        </w:rPr>
      </w:pPr>
      <w:r w:rsidRPr="00962056">
        <w:rPr>
          <w:sz w:val="28"/>
          <w:szCs w:val="28"/>
        </w:rPr>
        <w:lastRenderedPageBreak/>
        <w:t>Приложение</w:t>
      </w:r>
    </w:p>
    <w:p w:rsidR="00962056" w:rsidRPr="00962056" w:rsidRDefault="00962056" w:rsidP="00962056">
      <w:pPr>
        <w:jc w:val="right"/>
        <w:outlineLvl w:val="1"/>
        <w:rPr>
          <w:sz w:val="28"/>
          <w:szCs w:val="28"/>
        </w:rPr>
      </w:pPr>
      <w:r w:rsidRPr="00962056">
        <w:rPr>
          <w:sz w:val="28"/>
          <w:szCs w:val="28"/>
        </w:rPr>
        <w:t>к постановлению администрации</w:t>
      </w:r>
    </w:p>
    <w:p w:rsidR="00962056" w:rsidRPr="00962056" w:rsidRDefault="00962056" w:rsidP="00962056">
      <w:pPr>
        <w:jc w:val="right"/>
        <w:rPr>
          <w:sz w:val="28"/>
          <w:szCs w:val="28"/>
        </w:rPr>
      </w:pPr>
      <w:r>
        <w:rPr>
          <w:sz w:val="28"/>
          <w:szCs w:val="28"/>
        </w:rPr>
        <w:t>Суходонец</w:t>
      </w:r>
      <w:r w:rsidRPr="00962056">
        <w:rPr>
          <w:sz w:val="28"/>
          <w:szCs w:val="28"/>
        </w:rPr>
        <w:t>кого сельского поселения</w:t>
      </w:r>
    </w:p>
    <w:p w:rsidR="00962056" w:rsidRPr="00962056" w:rsidRDefault="00962056" w:rsidP="00962056">
      <w:pPr>
        <w:jc w:val="right"/>
        <w:rPr>
          <w:sz w:val="28"/>
          <w:szCs w:val="28"/>
        </w:rPr>
      </w:pPr>
      <w:r w:rsidRPr="00962056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62056">
        <w:rPr>
          <w:sz w:val="28"/>
          <w:szCs w:val="28"/>
        </w:rPr>
        <w:t>.12.2021</w:t>
      </w:r>
      <w:r>
        <w:rPr>
          <w:sz w:val="28"/>
          <w:szCs w:val="28"/>
        </w:rPr>
        <w:t xml:space="preserve"> г. № 45</w:t>
      </w: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jc w:val="center"/>
        <w:rPr>
          <w:b/>
          <w:sz w:val="28"/>
          <w:szCs w:val="28"/>
        </w:rPr>
      </w:pPr>
      <w:r w:rsidRPr="00962056">
        <w:rPr>
          <w:b/>
          <w:sz w:val="28"/>
          <w:szCs w:val="28"/>
        </w:rPr>
        <w:t xml:space="preserve">Перечень главных </w:t>
      </w:r>
      <w:proofErr w:type="gramStart"/>
      <w:r w:rsidRPr="00962056">
        <w:rPr>
          <w:b/>
          <w:sz w:val="28"/>
          <w:szCs w:val="28"/>
        </w:rPr>
        <w:t>администраторов источников 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r w:rsidRPr="00962056">
        <w:rPr>
          <w:b/>
          <w:sz w:val="28"/>
          <w:szCs w:val="28"/>
        </w:rPr>
        <w:t>Суходонецкого сельского поселения</w:t>
      </w:r>
    </w:p>
    <w:p w:rsidR="00962056" w:rsidRPr="00962056" w:rsidRDefault="00962056" w:rsidP="00962056">
      <w:pPr>
        <w:jc w:val="center"/>
        <w:rPr>
          <w:b/>
          <w:sz w:val="28"/>
          <w:szCs w:val="28"/>
        </w:rPr>
      </w:pPr>
      <w:r w:rsidRPr="00962056">
        <w:rPr>
          <w:b/>
          <w:sz w:val="28"/>
          <w:szCs w:val="28"/>
        </w:rPr>
        <w:t>Богучарского муниципального района Воронежской области</w:t>
      </w:r>
    </w:p>
    <w:p w:rsidR="00962056" w:rsidRPr="00962056" w:rsidRDefault="00962056" w:rsidP="00962056">
      <w:pPr>
        <w:jc w:val="center"/>
        <w:rPr>
          <w:b/>
          <w:sz w:val="28"/>
          <w:szCs w:val="28"/>
        </w:rPr>
      </w:pPr>
    </w:p>
    <w:p w:rsidR="00962056" w:rsidRPr="00962056" w:rsidRDefault="00962056" w:rsidP="00962056">
      <w:pPr>
        <w:jc w:val="center"/>
        <w:rPr>
          <w:b/>
          <w:sz w:val="28"/>
          <w:szCs w:val="28"/>
        </w:rPr>
      </w:pPr>
    </w:p>
    <w:tbl>
      <w:tblPr>
        <w:tblW w:w="9937" w:type="dxa"/>
        <w:tblInd w:w="94" w:type="dxa"/>
        <w:tblLook w:val="04A0"/>
      </w:tblPr>
      <w:tblGrid>
        <w:gridCol w:w="1290"/>
        <w:gridCol w:w="3686"/>
        <w:gridCol w:w="4961"/>
      </w:tblGrid>
      <w:tr w:rsidR="00962056" w:rsidRPr="00962056" w:rsidTr="009F370E">
        <w:trPr>
          <w:trHeight w:val="39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3</w:t>
            </w:r>
          </w:p>
        </w:tc>
      </w:tr>
      <w:tr w:rsidR="00962056" w:rsidRPr="00962056" w:rsidTr="009F370E">
        <w:trPr>
          <w:trHeight w:val="77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b/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 </w:t>
            </w:r>
            <w:r w:rsidRPr="0096205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b/>
                <w:bCs/>
                <w:sz w:val="28"/>
                <w:szCs w:val="28"/>
              </w:rPr>
            </w:pPr>
            <w:r w:rsidRPr="00962056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Pr="00962056">
              <w:rPr>
                <w:b/>
                <w:sz w:val="28"/>
                <w:szCs w:val="28"/>
              </w:rPr>
              <w:t>Суходонецкого</w:t>
            </w:r>
            <w:r w:rsidRPr="00962056">
              <w:rPr>
                <w:b/>
                <w:bCs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  <w:tr w:rsidR="00962056" w:rsidRPr="00962056" w:rsidTr="009F370E">
        <w:trPr>
          <w:trHeight w:val="803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 xml:space="preserve"> 01 02 00 </w:t>
            </w:r>
            <w:proofErr w:type="spellStart"/>
            <w:r w:rsidRPr="00962056">
              <w:rPr>
                <w:sz w:val="28"/>
                <w:szCs w:val="28"/>
              </w:rPr>
              <w:t>00</w:t>
            </w:r>
            <w:proofErr w:type="spellEnd"/>
            <w:r w:rsidRPr="00962056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2056" w:rsidRPr="00962056" w:rsidRDefault="00962056" w:rsidP="00962056">
            <w:pPr>
              <w:rPr>
                <w:b/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962056" w:rsidRPr="00962056" w:rsidTr="009F370E">
        <w:trPr>
          <w:trHeight w:val="829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 xml:space="preserve"> 01 02 00 </w:t>
            </w:r>
            <w:proofErr w:type="spellStart"/>
            <w:r w:rsidRPr="00962056">
              <w:rPr>
                <w:sz w:val="28"/>
                <w:szCs w:val="28"/>
              </w:rPr>
              <w:t>00</w:t>
            </w:r>
            <w:proofErr w:type="spellEnd"/>
            <w:r w:rsidRPr="00962056"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2056" w:rsidRPr="00962056" w:rsidRDefault="00962056" w:rsidP="00962056">
            <w:pPr>
              <w:rPr>
                <w:b/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962056" w:rsidRPr="00962056" w:rsidTr="009F370E">
        <w:trPr>
          <w:trHeight w:val="85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 xml:space="preserve"> 01 03 01 00 10 0000 710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056" w:rsidRPr="00962056" w:rsidRDefault="00962056" w:rsidP="009F370E">
            <w:pPr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62056" w:rsidRPr="00962056" w:rsidTr="009F370E">
        <w:trPr>
          <w:trHeight w:val="683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 xml:space="preserve"> 01 03 01 00 10 0000 810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056" w:rsidRPr="00962056" w:rsidRDefault="00962056" w:rsidP="009F370E">
            <w:pPr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62056" w:rsidRPr="00962056" w:rsidTr="009F370E">
        <w:trPr>
          <w:trHeight w:val="62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056" w:rsidRPr="00962056" w:rsidRDefault="00962056" w:rsidP="009F370E">
            <w:pPr>
              <w:rPr>
                <w:snapToGrid w:val="0"/>
                <w:color w:val="000000"/>
                <w:sz w:val="28"/>
                <w:szCs w:val="28"/>
              </w:rPr>
            </w:pPr>
            <w:r w:rsidRPr="00962056">
              <w:rPr>
                <w:snapToGrid w:val="0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62056" w:rsidRPr="00962056" w:rsidTr="009F370E">
        <w:trPr>
          <w:trHeight w:val="70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56" w:rsidRPr="00962056" w:rsidRDefault="00962056" w:rsidP="009F370E">
            <w:pPr>
              <w:jc w:val="center"/>
              <w:rPr>
                <w:sz w:val="28"/>
                <w:szCs w:val="28"/>
              </w:rPr>
            </w:pPr>
            <w:r w:rsidRPr="00962056"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056" w:rsidRPr="00962056" w:rsidRDefault="00962056" w:rsidP="009F370E">
            <w:pPr>
              <w:rPr>
                <w:snapToGrid w:val="0"/>
                <w:color w:val="000000"/>
                <w:sz w:val="28"/>
                <w:szCs w:val="28"/>
              </w:rPr>
            </w:pPr>
            <w:r w:rsidRPr="00962056">
              <w:rPr>
                <w:snapToGrid w:val="0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62056" w:rsidRPr="00962056" w:rsidRDefault="00962056" w:rsidP="00962056">
      <w:pPr>
        <w:jc w:val="center"/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962056" w:rsidRPr="00962056" w:rsidRDefault="00962056" w:rsidP="00962056">
      <w:pPr>
        <w:rPr>
          <w:sz w:val="28"/>
          <w:szCs w:val="28"/>
        </w:rPr>
      </w:pPr>
    </w:p>
    <w:p w:rsidR="00E81077" w:rsidRPr="00962056" w:rsidRDefault="00E81077" w:rsidP="00A37B98">
      <w:pPr>
        <w:pStyle w:val="a3"/>
        <w:tabs>
          <w:tab w:val="left" w:pos="7809"/>
        </w:tabs>
        <w:jc w:val="both"/>
        <w:rPr>
          <w:rFonts w:ascii="Times New Roman" w:hAnsi="Times New Roman"/>
          <w:szCs w:val="28"/>
        </w:rPr>
      </w:pPr>
    </w:p>
    <w:sectPr w:rsidR="00E81077" w:rsidRPr="00962056" w:rsidSect="006467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EBB"/>
    <w:multiLevelType w:val="hybridMultilevel"/>
    <w:tmpl w:val="54F0F3C2"/>
    <w:lvl w:ilvl="0" w:tplc="0DA0FD1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6641"/>
    <w:rsid w:val="000166B8"/>
    <w:rsid w:val="00026E83"/>
    <w:rsid w:val="0004798E"/>
    <w:rsid w:val="00080155"/>
    <w:rsid w:val="00085772"/>
    <w:rsid w:val="000E4EEC"/>
    <w:rsid w:val="000E5128"/>
    <w:rsid w:val="000F3003"/>
    <w:rsid w:val="00112011"/>
    <w:rsid w:val="0011708D"/>
    <w:rsid w:val="0017026F"/>
    <w:rsid w:val="00172C03"/>
    <w:rsid w:val="00173536"/>
    <w:rsid w:val="00180F92"/>
    <w:rsid w:val="001815E7"/>
    <w:rsid w:val="001828B1"/>
    <w:rsid w:val="001917AD"/>
    <w:rsid w:val="001A1D9E"/>
    <w:rsid w:val="001A2C4A"/>
    <w:rsid w:val="001C5CB2"/>
    <w:rsid w:val="001C77D3"/>
    <w:rsid w:val="001D051E"/>
    <w:rsid w:val="001E36A1"/>
    <w:rsid w:val="001E5256"/>
    <w:rsid w:val="00256DA4"/>
    <w:rsid w:val="00256E2E"/>
    <w:rsid w:val="002E0708"/>
    <w:rsid w:val="002F6E8D"/>
    <w:rsid w:val="002F75C4"/>
    <w:rsid w:val="003462AB"/>
    <w:rsid w:val="00383763"/>
    <w:rsid w:val="003C1C5B"/>
    <w:rsid w:val="003E2F43"/>
    <w:rsid w:val="003E54E9"/>
    <w:rsid w:val="003F7501"/>
    <w:rsid w:val="004074A5"/>
    <w:rsid w:val="00456B58"/>
    <w:rsid w:val="00474491"/>
    <w:rsid w:val="00490BD9"/>
    <w:rsid w:val="004935C2"/>
    <w:rsid w:val="004966CF"/>
    <w:rsid w:val="004D61EA"/>
    <w:rsid w:val="005158D0"/>
    <w:rsid w:val="00516777"/>
    <w:rsid w:val="00550C51"/>
    <w:rsid w:val="00577F16"/>
    <w:rsid w:val="00590279"/>
    <w:rsid w:val="005D1AFF"/>
    <w:rsid w:val="00600535"/>
    <w:rsid w:val="00623260"/>
    <w:rsid w:val="00623CC6"/>
    <w:rsid w:val="00625C25"/>
    <w:rsid w:val="006467A0"/>
    <w:rsid w:val="00647AC2"/>
    <w:rsid w:val="006564D7"/>
    <w:rsid w:val="00671539"/>
    <w:rsid w:val="006C37F3"/>
    <w:rsid w:val="006D683F"/>
    <w:rsid w:val="00701ECB"/>
    <w:rsid w:val="00710223"/>
    <w:rsid w:val="007411E3"/>
    <w:rsid w:val="0074598F"/>
    <w:rsid w:val="00764599"/>
    <w:rsid w:val="00786418"/>
    <w:rsid w:val="00797AFE"/>
    <w:rsid w:val="00804AC1"/>
    <w:rsid w:val="00807170"/>
    <w:rsid w:val="008117C8"/>
    <w:rsid w:val="00845F77"/>
    <w:rsid w:val="00866641"/>
    <w:rsid w:val="00875EB3"/>
    <w:rsid w:val="008A3D53"/>
    <w:rsid w:val="008B0EEF"/>
    <w:rsid w:val="008D0AFC"/>
    <w:rsid w:val="008D5E96"/>
    <w:rsid w:val="008E0947"/>
    <w:rsid w:val="008E6CF9"/>
    <w:rsid w:val="008F2D85"/>
    <w:rsid w:val="00960E0F"/>
    <w:rsid w:val="00962056"/>
    <w:rsid w:val="009A1595"/>
    <w:rsid w:val="009B1B3B"/>
    <w:rsid w:val="009C7BBA"/>
    <w:rsid w:val="009D3570"/>
    <w:rsid w:val="00A1115C"/>
    <w:rsid w:val="00A270F2"/>
    <w:rsid w:val="00A37B98"/>
    <w:rsid w:val="00A53209"/>
    <w:rsid w:val="00A66232"/>
    <w:rsid w:val="00A94C24"/>
    <w:rsid w:val="00AA44BF"/>
    <w:rsid w:val="00B43AAC"/>
    <w:rsid w:val="00B45D88"/>
    <w:rsid w:val="00B72823"/>
    <w:rsid w:val="00BE727D"/>
    <w:rsid w:val="00BF524B"/>
    <w:rsid w:val="00C31B61"/>
    <w:rsid w:val="00C42241"/>
    <w:rsid w:val="00C84978"/>
    <w:rsid w:val="00C97B3D"/>
    <w:rsid w:val="00CA72F5"/>
    <w:rsid w:val="00CB395D"/>
    <w:rsid w:val="00CC6A49"/>
    <w:rsid w:val="00D63D93"/>
    <w:rsid w:val="00D64222"/>
    <w:rsid w:val="00D7758E"/>
    <w:rsid w:val="00D77759"/>
    <w:rsid w:val="00D94129"/>
    <w:rsid w:val="00D953D3"/>
    <w:rsid w:val="00DA442E"/>
    <w:rsid w:val="00DA5973"/>
    <w:rsid w:val="00DB14D5"/>
    <w:rsid w:val="00DB29E1"/>
    <w:rsid w:val="00DD4836"/>
    <w:rsid w:val="00E2027E"/>
    <w:rsid w:val="00E21DDD"/>
    <w:rsid w:val="00E3322A"/>
    <w:rsid w:val="00E51FC8"/>
    <w:rsid w:val="00E715F4"/>
    <w:rsid w:val="00E81077"/>
    <w:rsid w:val="00E93E9A"/>
    <w:rsid w:val="00EE203C"/>
    <w:rsid w:val="00EE64A6"/>
    <w:rsid w:val="00EF28E7"/>
    <w:rsid w:val="00F04CC5"/>
    <w:rsid w:val="00F079F8"/>
    <w:rsid w:val="00F67168"/>
    <w:rsid w:val="00F7325E"/>
    <w:rsid w:val="00FB6DD7"/>
    <w:rsid w:val="00FE2143"/>
    <w:rsid w:val="00FE60D6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664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0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6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86664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8015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9C7BB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C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7B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4978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2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962056"/>
    <w:pPr>
      <w:widowControl/>
      <w:suppressLineNumbers/>
      <w:suppressAutoHyphens/>
      <w:autoSpaceDE/>
      <w:autoSpaceDN/>
      <w:adjustRightInd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5027-8D63-46A7-8906-8B3BD59B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suhod-adm</dc:creator>
  <cp:lastModifiedBy>suhod-adm</cp:lastModifiedBy>
  <cp:revision>46</cp:revision>
  <cp:lastPrinted>2021-12-30T09:04:00Z</cp:lastPrinted>
  <dcterms:created xsi:type="dcterms:W3CDTF">2020-11-19T09:40:00Z</dcterms:created>
  <dcterms:modified xsi:type="dcterms:W3CDTF">2021-12-30T09:05:00Z</dcterms:modified>
</cp:coreProperties>
</file>