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Pr="00A34AA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движение по автомобильным дорогам местного значения сельского поселения Покровка тяжеловесного транспортного средства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 от 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21.12.2015 №68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постановл</w:t>
      </w:r>
      <w:r w:rsidR="00CD623F">
        <w:rPr>
          <w:rFonts w:ascii="Times New Roman" w:hAnsi="Times New Roman" w:cs="Times New Roman"/>
          <w:b/>
          <w:bCs/>
          <w:sz w:val="24"/>
          <w:szCs w:val="24"/>
        </w:rPr>
        <w:t>ений от 13.05.2016 № 2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623F">
        <w:rPr>
          <w:rFonts w:ascii="Times New Roman" w:hAnsi="Times New Roman" w:cs="Times New Roman"/>
          <w:b/>
          <w:bCs/>
          <w:sz w:val="24"/>
          <w:szCs w:val="24"/>
        </w:rPr>
        <w:t>, от 12.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>12.2016 № 6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3)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93456">
        <w:rPr>
          <w:rFonts w:ascii="Times New Roman" w:hAnsi="Times New Roman" w:cs="Times New Roman"/>
          <w:sz w:val="24"/>
          <w:szCs w:val="24"/>
        </w:rPr>
        <w:t>Рассмотрев протест</w:t>
      </w:r>
      <w:r w:rsidR="009B4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56">
        <w:rPr>
          <w:rFonts w:ascii="Times New Roman" w:hAnsi="Times New Roman" w:cs="Times New Roman"/>
          <w:sz w:val="24"/>
          <w:szCs w:val="24"/>
        </w:rPr>
        <w:t>Нефтегорской</w:t>
      </w:r>
      <w:proofErr w:type="spellEnd"/>
      <w:r w:rsidR="00693456">
        <w:rPr>
          <w:rFonts w:ascii="Times New Roman" w:hAnsi="Times New Roman" w:cs="Times New Roman"/>
          <w:sz w:val="24"/>
          <w:szCs w:val="24"/>
        </w:rPr>
        <w:t xml:space="preserve"> межрайонной прокуратуры от 16.04.2018 года №</w:t>
      </w:r>
      <w:r w:rsidR="009B4BF9">
        <w:rPr>
          <w:rFonts w:ascii="Times New Roman" w:hAnsi="Times New Roman" w:cs="Times New Roman"/>
          <w:sz w:val="24"/>
          <w:szCs w:val="24"/>
        </w:rPr>
        <w:t xml:space="preserve"> 07-21-2018/480 на постановление администрации сельского поселения Покровка муниципального района Нефтегорский от 21.12.2015 № 68 (в редакции постановлений от 13.05.2016 № 25, от 12.12.2016 № 63 «Об утверждении Административного регламента по предоставлению муниципальной услуги «Выдача разрешения на движение по автомобильным дорогам местного значения сельского поселения Покровка тяжеловесного транспортного средства»</w:t>
      </w:r>
      <w:r w:rsidRPr="009E3EDE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BB1F08"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9E3EDE">
        <w:rPr>
          <w:rFonts w:ascii="Times New Roman" w:hAnsi="Times New Roman" w:cs="Times New Roman"/>
          <w:sz w:val="24"/>
          <w:szCs w:val="24"/>
        </w:rPr>
        <w:t xml:space="preserve"> Нефтегорский Самарской области</w:t>
      </w: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004A9F" w:rsidRPr="00A34AAC" w:rsidRDefault="00004A9F" w:rsidP="00A34AAC">
      <w:pPr>
        <w:spacing w:before="100" w:beforeAutospacing="1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A34AAC">
        <w:rPr>
          <w:rFonts w:ascii="Times New Roman" w:hAnsi="Times New Roman" w:cs="Times New Roman"/>
          <w:bCs/>
          <w:sz w:val="24"/>
          <w:szCs w:val="24"/>
        </w:rPr>
        <w:t>«</w:t>
      </w:r>
      <w:r w:rsidR="009B4BF9">
        <w:rPr>
          <w:rFonts w:ascii="Times New Roman" w:hAnsi="Times New Roman" w:cs="Times New Roman"/>
          <w:sz w:val="24"/>
          <w:szCs w:val="24"/>
        </w:rPr>
        <w:t>Выдача разрешения на движение по автомобильным дорогам местного значения сельского поселения Покровка тяжеловесного транспортного средства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», утвержденный постановлением администрации сельского поселения Покровка от </w:t>
      </w:r>
      <w:r w:rsidR="008F3DA0">
        <w:rPr>
          <w:rFonts w:ascii="Times New Roman" w:hAnsi="Times New Roman" w:cs="Times New Roman"/>
          <w:bCs/>
          <w:sz w:val="24"/>
          <w:szCs w:val="24"/>
        </w:rPr>
        <w:t xml:space="preserve">21.12.2015 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F3DA0">
        <w:rPr>
          <w:rFonts w:ascii="Times New Roman" w:hAnsi="Times New Roman" w:cs="Times New Roman"/>
          <w:bCs/>
          <w:sz w:val="24"/>
          <w:szCs w:val="24"/>
        </w:rPr>
        <w:t>68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 (в редакции от </w:t>
      </w:r>
      <w:r w:rsidR="008F3DA0">
        <w:rPr>
          <w:rFonts w:ascii="Times New Roman" w:hAnsi="Times New Roman" w:cs="Times New Roman"/>
          <w:bCs/>
          <w:sz w:val="24"/>
          <w:szCs w:val="24"/>
        </w:rPr>
        <w:t>13.05.2016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F3DA0">
        <w:rPr>
          <w:rFonts w:ascii="Times New Roman" w:hAnsi="Times New Roman" w:cs="Times New Roman"/>
          <w:bCs/>
          <w:sz w:val="24"/>
          <w:szCs w:val="24"/>
        </w:rPr>
        <w:t>25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r w:rsidR="008F3DA0">
        <w:rPr>
          <w:rFonts w:ascii="Times New Roman" w:hAnsi="Times New Roman" w:cs="Times New Roman"/>
          <w:bCs/>
          <w:sz w:val="24"/>
          <w:szCs w:val="24"/>
        </w:rPr>
        <w:t>12.12.2016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 № 6</w:t>
      </w:r>
      <w:r w:rsidR="008F3DA0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="00CD623F">
        <w:rPr>
          <w:rFonts w:ascii="Times New Roman" w:hAnsi="Times New Roman" w:cs="Times New Roman"/>
          <w:bCs/>
          <w:sz w:val="24"/>
          <w:szCs w:val="24"/>
        </w:rPr>
        <w:t>)</w:t>
      </w:r>
    </w:p>
    <w:p w:rsidR="00004A9F" w:rsidRDefault="00004A9F" w:rsidP="00004A9F">
      <w:pPr>
        <w:pStyle w:val="p5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Главу 5 изложить в следующей редакции: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BA" w:rsidRDefault="00E541BA" w:rsidP="00BB1F08">
      <w:pPr>
        <w:spacing w:after="0" w:line="240" w:lineRule="auto"/>
      </w:pPr>
      <w:r>
        <w:separator/>
      </w:r>
    </w:p>
  </w:endnote>
  <w:endnote w:type="continuationSeparator" w:id="0">
    <w:p w:rsidR="00E541BA" w:rsidRDefault="00E541BA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BA" w:rsidRDefault="00E541BA" w:rsidP="00BB1F08">
      <w:pPr>
        <w:spacing w:after="0" w:line="240" w:lineRule="auto"/>
      </w:pPr>
      <w:r>
        <w:separator/>
      </w:r>
    </w:p>
  </w:footnote>
  <w:footnote w:type="continuationSeparator" w:id="0">
    <w:p w:rsidR="00E541BA" w:rsidRDefault="00E541BA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602984"/>
    <w:rsid w:val="00671B6F"/>
    <w:rsid w:val="00693456"/>
    <w:rsid w:val="0069393C"/>
    <w:rsid w:val="00703B60"/>
    <w:rsid w:val="007A0DC1"/>
    <w:rsid w:val="008B4CF6"/>
    <w:rsid w:val="008F3DA0"/>
    <w:rsid w:val="009B4BF9"/>
    <w:rsid w:val="009E3EDE"/>
    <w:rsid w:val="009E7F77"/>
    <w:rsid w:val="00A34AAC"/>
    <w:rsid w:val="00B13B9E"/>
    <w:rsid w:val="00B2152B"/>
    <w:rsid w:val="00BA11F0"/>
    <w:rsid w:val="00BB1F08"/>
    <w:rsid w:val="00C11478"/>
    <w:rsid w:val="00CD623F"/>
    <w:rsid w:val="00E541BA"/>
    <w:rsid w:val="00F153D8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9</cp:revision>
  <cp:lastPrinted>2018-05-10T07:46:00Z</cp:lastPrinted>
  <dcterms:created xsi:type="dcterms:W3CDTF">2018-04-27T04:30:00Z</dcterms:created>
  <dcterms:modified xsi:type="dcterms:W3CDTF">2018-05-10T07:46:00Z</dcterms:modified>
</cp:coreProperties>
</file>