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Default="00FF52D0" w:rsidP="00FF52D0">
      <w:pPr>
        <w:shd w:val="clear" w:color="auto" w:fill="FFFFFF"/>
        <w:tabs>
          <w:tab w:val="left" w:pos="2590"/>
        </w:tabs>
        <w:spacing w:before="17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FF52D0" w:rsidRDefault="00FF52D0" w:rsidP="00FF52D0">
      <w:pPr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  <w:lang w:val="ru-RU"/>
        </w:rPr>
        <w:drawing>
          <wp:inline distT="0" distB="0" distL="0" distR="0">
            <wp:extent cx="495300" cy="619125"/>
            <wp:effectExtent l="19050" t="0" r="0" b="0"/>
            <wp:docPr id="2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D0" w:rsidRDefault="00FF52D0" w:rsidP="00FF52D0">
      <w:pPr>
        <w:jc w:val="center"/>
        <w:rPr>
          <w:b/>
          <w:sz w:val="28"/>
          <w:szCs w:val="22"/>
          <w:lang w:eastAsia="ar-SA"/>
        </w:rPr>
      </w:pPr>
    </w:p>
    <w:p w:rsidR="00FF52D0" w:rsidRPr="00996893" w:rsidRDefault="00FF52D0" w:rsidP="00FF52D0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АДМИНИСТРАЦИЯ</w:t>
      </w:r>
    </w:p>
    <w:p w:rsidR="00FF52D0" w:rsidRPr="00996893" w:rsidRDefault="00FF52D0" w:rsidP="00FF52D0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996893"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FF52D0" w:rsidRPr="00996893" w:rsidRDefault="00FF52D0" w:rsidP="00FF52D0">
      <w:pPr>
        <w:keepNext/>
        <w:tabs>
          <w:tab w:val="left" w:pos="2590"/>
        </w:tabs>
        <w:outlineLvl w:val="0"/>
        <w:rPr>
          <w:bCs/>
          <w:kern w:val="2"/>
          <w:sz w:val="22"/>
          <w:szCs w:val="22"/>
          <w:lang w:eastAsia="ar-SA"/>
        </w:rPr>
      </w:pPr>
    </w:p>
    <w:p w:rsidR="00FF52D0" w:rsidRPr="00996893" w:rsidRDefault="00FF52D0" w:rsidP="00FF52D0">
      <w:pPr>
        <w:keepNext/>
        <w:tabs>
          <w:tab w:val="left" w:pos="2590"/>
        </w:tabs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П О С Т А Н О В Л Е Н И Е</w:t>
      </w:r>
    </w:p>
    <w:p w:rsidR="00FF52D0" w:rsidRPr="00996893" w:rsidRDefault="00FF52D0" w:rsidP="00FF52D0">
      <w:pPr>
        <w:tabs>
          <w:tab w:val="left" w:pos="2590"/>
        </w:tabs>
        <w:rPr>
          <w:b/>
          <w:szCs w:val="28"/>
          <w:lang w:eastAsia="ar-SA"/>
        </w:rPr>
      </w:pPr>
    </w:p>
    <w:p w:rsidR="00FF52D0" w:rsidRPr="00996893" w:rsidRDefault="00FF52D0" w:rsidP="00FF52D0">
      <w:pPr>
        <w:tabs>
          <w:tab w:val="left" w:pos="2590"/>
        </w:tabs>
        <w:rPr>
          <w:sz w:val="12"/>
          <w:lang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FF52D0" w:rsidRPr="00996893" w:rsidTr="001653FB">
        <w:trPr>
          <w:cantSplit/>
        </w:trPr>
        <w:tc>
          <w:tcPr>
            <w:tcW w:w="467" w:type="dxa"/>
            <w:hideMark/>
          </w:tcPr>
          <w:p w:rsidR="00FF52D0" w:rsidRPr="00996893" w:rsidRDefault="00FF52D0" w:rsidP="001653FB">
            <w:pPr>
              <w:tabs>
                <w:tab w:val="left" w:pos="2590"/>
              </w:tabs>
              <w:snapToGrid w:val="0"/>
              <w:rPr>
                <w:lang w:eastAsia="ar-SA"/>
              </w:rPr>
            </w:pPr>
            <w:r w:rsidRPr="00996893">
              <w:rPr>
                <w:lang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F52D0" w:rsidRPr="00996893" w:rsidRDefault="00FF52D0" w:rsidP="001653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FF52D0" w:rsidRPr="00996893" w:rsidRDefault="00FF52D0" w:rsidP="001653FB">
            <w:pPr>
              <w:tabs>
                <w:tab w:val="left" w:pos="2590"/>
              </w:tabs>
              <w:snapToGrid w:val="0"/>
              <w:jc w:val="center"/>
              <w:rPr>
                <w:lang w:eastAsia="ar-SA"/>
              </w:rPr>
            </w:pPr>
            <w:r w:rsidRPr="00996893">
              <w:rPr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F52D0" w:rsidRPr="00996893" w:rsidRDefault="00FF52D0" w:rsidP="001653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F52D0" w:rsidRPr="00996893" w:rsidRDefault="00FF52D0" w:rsidP="00FF52D0">
      <w:pPr>
        <w:shd w:val="clear" w:color="auto" w:fill="FFFFFF"/>
        <w:tabs>
          <w:tab w:val="left" w:pos="2590"/>
        </w:tabs>
        <w:jc w:val="center"/>
        <w:rPr>
          <w:sz w:val="25"/>
          <w:lang w:eastAsia="ar-SA"/>
        </w:rPr>
      </w:pPr>
      <w:r w:rsidRPr="00996893">
        <w:rPr>
          <w:sz w:val="25"/>
          <w:lang w:eastAsia="ar-SA"/>
        </w:rPr>
        <w:t>с. Кухаривка</w:t>
      </w: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546B1D" w:rsidRPr="00095556" w:rsidTr="0009555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633F7E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FF52D0">
              <w:rPr>
                <w:b/>
                <w:sz w:val="28"/>
                <w:szCs w:val="28"/>
                <w:lang w:val="ru-RU" w:eastAsia="ar-SA"/>
              </w:rPr>
              <w:t>Кухаривского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FF52D0">
        <w:rPr>
          <w:sz w:val="28"/>
          <w:szCs w:val="28"/>
          <w:lang w:val="ru-RU" w:eastAsia="ar-SA"/>
        </w:rPr>
        <w:t>Кухаривского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FF52D0">
        <w:rPr>
          <w:sz w:val="28"/>
          <w:szCs w:val="28"/>
          <w:lang w:val="ru-RU" w:eastAsia="ar-SA"/>
        </w:rPr>
        <w:t>Кухаривского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Кухаривского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Мунирова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Кухаривского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F52D0" w:rsidRDefault="00FF52D0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г</w:t>
      </w:r>
      <w:r w:rsidR="007251D9" w:rsidRPr="009923A1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</w:p>
    <w:p w:rsidR="007251D9" w:rsidRPr="009923A1" w:rsidRDefault="00FF52D0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Кухаривского</w:t>
      </w:r>
      <w:r w:rsidR="007251D9" w:rsidRPr="009923A1">
        <w:rPr>
          <w:sz w:val="28"/>
          <w:szCs w:val="28"/>
        </w:rPr>
        <w:t xml:space="preserve"> сельского поселения </w:t>
      </w:r>
    </w:p>
    <w:p w:rsidR="007251D9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</w:t>
      </w:r>
      <w:r w:rsidR="00FF52D0">
        <w:rPr>
          <w:sz w:val="28"/>
          <w:szCs w:val="28"/>
          <w:lang w:val="ru-RU"/>
        </w:rPr>
        <w:t>Н.А. Шевчукова</w:t>
      </w: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FF52D0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Кухаривского</w:t>
      </w:r>
      <w:r w:rsidR="007251D9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7251D9" w:rsidRDefault="007251D9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61443B" w:rsidRPr="0061443B" w:rsidRDefault="0061443B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FF52D0">
        <w:rPr>
          <w:b/>
          <w:sz w:val="28"/>
          <w:szCs w:val="28"/>
          <w:lang w:val="ru-RU" w:eastAsia="ar-SA"/>
        </w:rPr>
        <w:t>Кухаривского</w:t>
      </w:r>
      <w:r w:rsidRPr="00EE7CD3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Предмет регулирования настоящего </w:t>
      </w:r>
      <w:r w:rsidR="007251D9">
        <w:rPr>
          <w:rFonts w:ascii="Times New Roman CYR" w:hAnsi="Times New Roman CYR" w:cs="Times New Roman CYR"/>
          <w:sz w:val="28"/>
          <w:szCs w:val="28"/>
        </w:rPr>
        <w:t>П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196-ФЗ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443-ФЗ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 расположенных в границах населенных пунктов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 w:rsidR="007251D9">
        <w:rPr>
          <w:rFonts w:ascii="Times New Roman CYR" w:hAnsi="Times New Roman CYR" w:cs="Times New Roman CYR"/>
          <w:sz w:val="28"/>
          <w:szCs w:val="28"/>
        </w:rPr>
        <w:t>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расположенные в границах населенных пунктов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1090 (далее </w:t>
      </w:r>
      <w:r w:rsidR="007251D9">
        <w:rPr>
          <w:rFonts w:ascii="Times New Roman CYR" w:hAnsi="Times New Roman CYR" w:cs="Times New Roman CYR"/>
          <w:sz w:val="28"/>
          <w:szCs w:val="28"/>
        </w:rPr>
        <w:t>–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lastRenderedPageBreak/>
        <w:t>Правила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являются общедоступными.</w:t>
      </w:r>
    </w:p>
    <w:p w:rsidR="007251D9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FF52D0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61443B">
        <w:rPr>
          <w:rFonts w:ascii="Times New Roman CYR" w:hAnsi="Times New Roman CYR" w:cs="Times New Roman CYR"/>
          <w:b/>
          <w:sz w:val="28"/>
          <w:szCs w:val="28"/>
        </w:rPr>
        <w:t>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FF52D0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61443B">
        <w:rPr>
          <w:rFonts w:ascii="Times New Roman CYR" w:hAnsi="Times New Roman CYR" w:cs="Times New Roman CYR"/>
          <w:b/>
          <w:sz w:val="28"/>
          <w:szCs w:val="28"/>
        </w:rPr>
        <w:t>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Создание парковок,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 w:rsidR="007251D9">
        <w:rPr>
          <w:rFonts w:ascii="Times New Roman CYR" w:hAnsi="Times New Roman CYR" w:cs="Times New Roman CYR"/>
          <w:sz w:val="28"/>
          <w:szCs w:val="28"/>
        </w:rPr>
        <w:t>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257-ФЗ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443-ФЗ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положений, предусмотренных </w:t>
      </w:r>
      <w:r w:rsidR="007251D9">
        <w:rPr>
          <w:rFonts w:ascii="Times New Roman CYR" w:hAnsi="Times New Roman CYR" w:cs="Times New Roman CYR"/>
          <w:sz w:val="28"/>
          <w:szCs w:val="28"/>
        </w:rPr>
        <w:t>ГОСТ Р 52766-2007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Создание и обеспечение функционирования парковок общего пользования осуществляется: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Принятие решения о создании и об использовании парковок на платной основе осуществляется администрацией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(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https://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kuharivka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.ru/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)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Ведение реестра парковок общего пользования,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b/>
          <w:sz w:val="28"/>
          <w:szCs w:val="28"/>
        </w:rPr>
        <w:t>.</w:t>
      </w:r>
      <w:r w:rsidR="00FF52D0" w:rsidRPr="00FF52D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.1.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.2.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.3.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Операторы парковки обязаны: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.4.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На информационных табло или устройствах автоматизированной системы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.5.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.6.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.7.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.8.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.9.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.10.</w:t>
      </w:r>
      <w:r w:rsidR="00FF52D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FF52D0">
        <w:rPr>
          <w:rFonts w:ascii="Times New Roman CYR" w:hAnsi="Times New Roman CYR" w:cs="Times New Roman CYR"/>
          <w:b/>
          <w:sz w:val="28"/>
          <w:szCs w:val="28"/>
        </w:rPr>
        <w:t>.</w:t>
      </w:r>
      <w:r w:rsidR="00FF52D0" w:rsidRPr="00FF52D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Пользователи парковок обязаны: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Пользователям парковок запрещается: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Стоянка автомобиля на платной парковке менее 15 минут является бесплатной. Время пребывания автомобиля на парковочном месте платной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</w:t>
      </w:r>
      <w:r w:rsidR="002B0C57">
        <w:rPr>
          <w:rFonts w:ascii="Times New Roman CYR" w:hAnsi="Times New Roman CYR" w:cs="Times New Roman CYR"/>
          <w:sz w:val="28"/>
          <w:szCs w:val="28"/>
        </w:rPr>
        <w:t>.5.</w:t>
      </w:r>
      <w:r w:rsidR="002B0C57"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6.6.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6.7.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6.8.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6.9.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6.10.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7251D9">
        <w:rPr>
          <w:rFonts w:ascii="Times New Roman CYR" w:hAnsi="Times New Roman CYR" w:cs="Times New Roman CYR"/>
          <w:sz w:val="28"/>
          <w:szCs w:val="28"/>
        </w:rPr>
        <w:t>Дядьковского сельского поселения Кореновского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6.11.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Методика расчета и максимального размера платы за пользование парковками утверждается постановлением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 w:rsidR="007251D9">
        <w:rPr>
          <w:rFonts w:ascii="Times New Roman CYR" w:hAnsi="Times New Roman CYR" w:cs="Times New Roman CYR"/>
          <w:sz w:val="28"/>
          <w:szCs w:val="28"/>
        </w:rPr>
        <w:t>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6.12.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6.13.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6.15.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2B0C57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7.</w:t>
      </w:r>
      <w:r w:rsidRPr="002B0C57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Требования к эксплуатации парковок: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обеспечение безопасности дорожного движения в границах парковки и на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подъездах к ней;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2B0C57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                                 </w:t>
      </w:r>
      <w:r w:rsidR="002B0C57">
        <w:rPr>
          <w:sz w:val="28"/>
          <w:szCs w:val="28"/>
          <w:lang w:val="ru-RU"/>
        </w:rPr>
        <w:t>Г.Э. Мунирова</w:t>
      </w:r>
    </w:p>
    <w:sectPr w:rsidR="00FF3D85" w:rsidRPr="002B0C57" w:rsidSect="00FF52D0">
      <w:headerReference w:type="default" r:id="rId8"/>
      <w:pgSz w:w="11906" w:h="16838"/>
      <w:pgMar w:top="567" w:right="567" w:bottom="567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A7" w:rsidRDefault="00944BA7">
      <w:r>
        <w:separator/>
      </w:r>
    </w:p>
  </w:endnote>
  <w:endnote w:type="continuationSeparator" w:id="1">
    <w:p w:rsidR="00944BA7" w:rsidRDefault="0094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A7" w:rsidRDefault="00944BA7">
      <w:r>
        <w:separator/>
      </w:r>
    </w:p>
  </w:footnote>
  <w:footnote w:type="continuationSeparator" w:id="1">
    <w:p w:rsidR="00944BA7" w:rsidRDefault="0094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110CA2"/>
    <w:rsid w:val="00112142"/>
    <w:rsid w:val="00167812"/>
    <w:rsid w:val="00195BC6"/>
    <w:rsid w:val="001C4B53"/>
    <w:rsid w:val="001E0D96"/>
    <w:rsid w:val="00211B84"/>
    <w:rsid w:val="002223B3"/>
    <w:rsid w:val="00227FA0"/>
    <w:rsid w:val="00244E21"/>
    <w:rsid w:val="002501E7"/>
    <w:rsid w:val="0025756B"/>
    <w:rsid w:val="00273C2F"/>
    <w:rsid w:val="0028085C"/>
    <w:rsid w:val="002876DC"/>
    <w:rsid w:val="002B0201"/>
    <w:rsid w:val="002B0C57"/>
    <w:rsid w:val="002C4A71"/>
    <w:rsid w:val="002D50F3"/>
    <w:rsid w:val="00305E37"/>
    <w:rsid w:val="003542BE"/>
    <w:rsid w:val="00386997"/>
    <w:rsid w:val="00392DDA"/>
    <w:rsid w:val="003B277B"/>
    <w:rsid w:val="003D2EAA"/>
    <w:rsid w:val="003D5A2F"/>
    <w:rsid w:val="00402B20"/>
    <w:rsid w:val="004033DB"/>
    <w:rsid w:val="004630F1"/>
    <w:rsid w:val="00474282"/>
    <w:rsid w:val="00485F86"/>
    <w:rsid w:val="004B6714"/>
    <w:rsid w:val="004C0AF0"/>
    <w:rsid w:val="004F0567"/>
    <w:rsid w:val="00503B74"/>
    <w:rsid w:val="0050402A"/>
    <w:rsid w:val="005064DC"/>
    <w:rsid w:val="00512145"/>
    <w:rsid w:val="00533E2B"/>
    <w:rsid w:val="00546B1D"/>
    <w:rsid w:val="00564680"/>
    <w:rsid w:val="0056714B"/>
    <w:rsid w:val="00577DEA"/>
    <w:rsid w:val="005B5A0B"/>
    <w:rsid w:val="005D108C"/>
    <w:rsid w:val="0061443B"/>
    <w:rsid w:val="00633F7E"/>
    <w:rsid w:val="00647745"/>
    <w:rsid w:val="006A7129"/>
    <w:rsid w:val="006B72B1"/>
    <w:rsid w:val="006E08D1"/>
    <w:rsid w:val="007251D9"/>
    <w:rsid w:val="00783B3A"/>
    <w:rsid w:val="007A6839"/>
    <w:rsid w:val="007A69BD"/>
    <w:rsid w:val="007D17F4"/>
    <w:rsid w:val="007E210B"/>
    <w:rsid w:val="007E4D76"/>
    <w:rsid w:val="007F0FB7"/>
    <w:rsid w:val="008118E8"/>
    <w:rsid w:val="00853C30"/>
    <w:rsid w:val="00854676"/>
    <w:rsid w:val="008A19E2"/>
    <w:rsid w:val="008C66BA"/>
    <w:rsid w:val="008D7692"/>
    <w:rsid w:val="008F1D0B"/>
    <w:rsid w:val="009119ED"/>
    <w:rsid w:val="0092644F"/>
    <w:rsid w:val="00933C5D"/>
    <w:rsid w:val="00935A5F"/>
    <w:rsid w:val="00944BA7"/>
    <w:rsid w:val="00963F2F"/>
    <w:rsid w:val="0097737D"/>
    <w:rsid w:val="009975F9"/>
    <w:rsid w:val="00997650"/>
    <w:rsid w:val="009F6592"/>
    <w:rsid w:val="00A02F5E"/>
    <w:rsid w:val="00A13522"/>
    <w:rsid w:val="00A32E31"/>
    <w:rsid w:val="00A35DF7"/>
    <w:rsid w:val="00A650B3"/>
    <w:rsid w:val="00AA1FB1"/>
    <w:rsid w:val="00AB2874"/>
    <w:rsid w:val="00AB62BC"/>
    <w:rsid w:val="00AC18B2"/>
    <w:rsid w:val="00AD2633"/>
    <w:rsid w:val="00AF6016"/>
    <w:rsid w:val="00B00055"/>
    <w:rsid w:val="00B04DE0"/>
    <w:rsid w:val="00B06C61"/>
    <w:rsid w:val="00B4432B"/>
    <w:rsid w:val="00B6447B"/>
    <w:rsid w:val="00BE4D29"/>
    <w:rsid w:val="00BF7B74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F013F6"/>
    <w:rsid w:val="00F64057"/>
    <w:rsid w:val="00F71C1D"/>
    <w:rsid w:val="00F82400"/>
    <w:rsid w:val="00F82C5B"/>
    <w:rsid w:val="00FE1485"/>
    <w:rsid w:val="00FF3D85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227F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10">
    <w:name w:val="Абзац списка1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4</cp:revision>
  <cp:lastPrinted>2022-11-21T12:50:00Z</cp:lastPrinted>
  <dcterms:created xsi:type="dcterms:W3CDTF">2023-10-05T07:42:00Z</dcterms:created>
  <dcterms:modified xsi:type="dcterms:W3CDTF">2024-04-03T07:09:00Z</dcterms:modified>
</cp:coreProperties>
</file>