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АДМИНИСТРАЦИЯ  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АМОНОВСКОГО СЕЛЬСКОГО ПОСЕЛЕНИЯ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 «20» марта 2023 г.                                                                                                            № 10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right="425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 Мамоновского сельского поселения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от 20.03.2023 года №10 </w:t>
      </w:r>
    </w:p>
    <w:p w:rsidR="00000000" w:rsidDel="00000000" w:rsidP="00000000" w:rsidRDefault="00000000" w:rsidRPr="00000000" w14:paraId="0000001E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F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ind w:left="33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8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ind w:left="42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Общий объем финансирования: 12154,9 тыс.рублей, в том числе, </w:t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4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6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7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8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C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D">
                        <w:pPr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E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F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2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99,0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113,3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118,4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122,7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2596,7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2435,2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864,9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905,4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5">
                  <w:pPr>
                    <w:widowControl w:val="0"/>
                    <w:spacing w:after="0" w:lineRule="auto"/>
                    <w:ind w:firstLine="479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 до 2025 года.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4">
      <w:pPr>
        <w:spacing w:after="0" w:lineRule="auto"/>
        <w:ind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 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A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6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7">
      <w:pPr>
        <w:spacing w:after="0" w:lineRule="auto"/>
        <w:ind w:left="108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C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E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B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8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A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D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D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D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качества предоставления муниципальных услуг;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F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E0">
      <w:pPr>
        <w:widowControl w:val="0"/>
        <w:spacing w:after="0" w:lineRule="auto"/>
        <w:ind w:left="709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E2">
      <w:pPr>
        <w:spacing w:after="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Обоснование выделения подпрограмм и обобщенная характеристика основных мероприятий.</w:t>
      </w:r>
    </w:p>
    <w:p w:rsidR="00000000" w:rsidDel="00000000" w:rsidP="00000000" w:rsidRDefault="00000000" w:rsidRPr="00000000" w14:paraId="000000E6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E8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мероприятия</w:t>
      </w:r>
    </w:p>
    <w:p w:rsidR="00000000" w:rsidDel="00000000" w:rsidP="00000000" w:rsidRDefault="00000000" w:rsidRPr="00000000" w14:paraId="000000E9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Финансовое обеспечение деятельности органа местного самоуправления - администрации Мамоновского сельского поселения;</w:t>
      </w:r>
    </w:p>
    <w:p w:rsidR="00000000" w:rsidDel="00000000" w:rsidP="00000000" w:rsidRDefault="00000000" w:rsidRPr="00000000" w14:paraId="000000EA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</w:r>
    </w:p>
    <w:p w:rsidR="00000000" w:rsidDel="00000000" w:rsidP="00000000" w:rsidRDefault="00000000" w:rsidRPr="00000000" w14:paraId="000000EB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</w:r>
    </w:p>
    <w:p w:rsidR="00000000" w:rsidDel="00000000" w:rsidP="00000000" w:rsidRDefault="00000000" w:rsidRPr="00000000" w14:paraId="000000EC">
      <w:pPr>
        <w:widowControl w:val="0"/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Управление муниципальным долгом Мамоновского сельского поселения.</w:t>
      </w:r>
    </w:p>
    <w:p w:rsidR="00000000" w:rsidDel="00000000" w:rsidP="00000000" w:rsidRDefault="00000000" w:rsidRPr="00000000" w14:paraId="000000ED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after="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Ресурсное обеспечение муниципальной программы</w:t>
      </w:r>
    </w:p>
    <w:p w:rsidR="00000000" w:rsidDel="00000000" w:rsidP="00000000" w:rsidRDefault="00000000" w:rsidRPr="00000000" w14:paraId="000000F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объем финансирования программы  составляет 12154,9 тыс.руб., в том числе: </w:t>
      </w:r>
    </w:p>
    <w:p w:rsidR="00000000" w:rsidDel="00000000" w:rsidP="00000000" w:rsidRDefault="00000000" w:rsidRPr="00000000" w14:paraId="000000F2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федеральный бюджет – 632,0 тыс.руб.;</w:t>
      </w:r>
    </w:p>
    <w:p w:rsidR="00000000" w:rsidDel="00000000" w:rsidP="00000000" w:rsidRDefault="00000000" w:rsidRPr="00000000" w14:paraId="000000F3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областной бюджет – 34,5 руб.;</w:t>
      </w:r>
    </w:p>
    <w:p w:rsidR="00000000" w:rsidDel="00000000" w:rsidP="00000000" w:rsidRDefault="00000000" w:rsidRPr="00000000" w14:paraId="000000F4">
      <w:pPr>
        <w:spacing w:after="0" w:lineRule="auto"/>
        <w:ind w:left="60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местный бюджет –11488,4 руб. </w:t>
      </w:r>
    </w:p>
    <w:p w:rsidR="00000000" w:rsidDel="00000000" w:rsidP="00000000" w:rsidRDefault="00000000" w:rsidRPr="00000000" w14:paraId="000000F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30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F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10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2695,7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2548,5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1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20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21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22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2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27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28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2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2A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2B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2C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2D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E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F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30">
      <w:pPr>
        <w:widowControl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6. Оценка эффективности реализации муниципальной программы</w:t>
      </w:r>
    </w:p>
    <w:p w:rsidR="00000000" w:rsidDel="00000000" w:rsidP="00000000" w:rsidRDefault="00000000" w:rsidRPr="00000000" w14:paraId="00000132">
      <w:pPr>
        <w:widowControl w:val="0"/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hd w:fill="ffffff" w:val="clear"/>
        <w:tabs>
          <w:tab w:val="left" w:leader="none" w:pos="1795"/>
          <w:tab w:val="left" w:leader="none" w:pos="3696"/>
          <w:tab w:val="left" w:leader="none" w:pos="5189"/>
          <w:tab w:val="left" w:leader="none" w:pos="7286"/>
          <w:tab w:val="left" w:leader="none" w:pos="8770"/>
        </w:tabs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34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right="5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35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36">
      <w:pPr>
        <w:widowControl w:val="0"/>
        <w:numPr>
          <w:ilvl w:val="0"/>
          <w:numId w:val="3"/>
        </w:numPr>
        <w:shd w:fill="ffffff" w:val="clear"/>
        <w:tabs>
          <w:tab w:val="left" w:leader="none" w:pos="1190"/>
        </w:tabs>
        <w:spacing w:after="0" w:line="240" w:lineRule="auto"/>
        <w:ind w:left="0" w:firstLine="567"/>
        <w:jc w:val="both"/>
        <w:rPr>
          <w:sz w:val="24"/>
          <w:szCs w:val="24"/>
        </w:rPr>
        <w:sectPr>
          <w:headerReference r:id="rId7" w:type="default"/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6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2019 (отчет)</w:t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7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7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7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(отчет)</w:t>
                  </w:r>
                </w:p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(оценка)</w:t>
                  </w:r>
                </w:p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8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8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8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9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27,7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25,3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27,4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27,6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27,8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28,8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43,5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44,5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45,5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97,7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91,2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D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E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11488,4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11488,4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4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tabs>
                <w:tab w:val="left" w:leader="none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tabs>
                <w:tab w:val="left" w:leader="none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50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tabs>
                <w:tab w:val="left" w:leader="none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tabs>
                <w:tab w:val="left" w:leader="none" w:pos="2760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4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widowControl w:val="0"/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B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C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D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4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spacing w:after="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530"/>
        <w:gridCol w:w="225"/>
        <w:gridCol w:w="1245"/>
        <w:gridCol w:w="105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530"/>
            <w:gridCol w:w="225"/>
            <w:gridCol w:w="1245"/>
            <w:gridCol w:w="105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12154,9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2695,7</w:t>
            </w:r>
          </w:p>
        </w:tc>
        <w:tc>
          <w:tcPr/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2548,5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983,3</w:t>
            </w:r>
          </w:p>
        </w:tc>
        <w:tc>
          <w:tcPr/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1028,1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33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3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33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11488,4</w:t>
            </w:r>
          </w:p>
        </w:tc>
        <w:tc>
          <w:tcPr/>
          <w:p w:rsidR="00000000" w:rsidDel="00000000" w:rsidP="00000000" w:rsidRDefault="00000000" w:rsidRPr="00000000" w14:paraId="0000035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5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/>
          <w:p w:rsidR="00000000" w:rsidDel="00000000" w:rsidP="00000000" w:rsidRDefault="00000000" w:rsidRPr="00000000" w14:paraId="0000035C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864,9</w:t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C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11390,5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B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2596,7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F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864,9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tabs>
                <w:tab w:val="left" w:leader="none" w:pos="2760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905,4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1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4D3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D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D7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4DA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2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632,0</w:t>
            </w:r>
          </w:p>
        </w:tc>
        <w:tc>
          <w:tcPr/>
          <w:p w:rsidR="00000000" w:rsidDel="00000000" w:rsidP="00000000" w:rsidRDefault="00000000" w:rsidRPr="00000000" w14:paraId="000004E4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E5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6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E8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118,4</w:t>
            </w:r>
          </w:p>
        </w:tc>
        <w:tc>
          <w:tcPr/>
          <w:p w:rsidR="00000000" w:rsidDel="00000000" w:rsidP="00000000" w:rsidRDefault="00000000" w:rsidRPr="00000000" w14:paraId="000004EB">
            <w:pPr>
              <w:widowControl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122,7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D1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D2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D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2023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2548,5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C">
            <w:pPr>
              <w:tabs>
                <w:tab w:val="left" w:leader="none" w:pos="27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2435,2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113,3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A9alKzJQhJjvMtLXWJvnSXaT/A==">AMUW2mWZ0zwK0yg2IE46nvAvteYP/A0PjcLPdW1KwH+ox0+HC9BaA/6tV/+sDvBD7dQeDK1JPP4LdDRo9SyKwjv8a6T+wzE26AIjKU6f1bEYBHbMBDQY/rXyRciykXDftg3I0/wj9sxP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