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bCs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lang w:eastAsia="ru-RU"/>
        </w:rPr>
        <w:t>АДМИНИСТРАЦИЯ   МУНИЦИПАЛЬНОГО  ОБРАЗОВАНИЯ</w:t>
      </w:r>
      <w:r>
        <w:rPr>
          <w:rFonts w:eastAsia="Calibri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0"/>
          <w:szCs w:val="20"/>
          <w:lang w:eastAsia="ru-RU"/>
        </w:rPr>
        <w:t>–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bCs/>
          <w:sz w:val="20"/>
          <w:szCs w:val="20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  <w:lang w:eastAsia="ru-RU"/>
        </w:rPr>
        <w:t>ГУСЕВСКОЕ ГОРОДСКОЕ ПОСЕЛЕНИЕ</w:t>
        <w:br/>
        <w:t>КАСИМОВСКОГО МУНИЦИПАЛЬНОГО РАЙОНА</w:t>
        <w:br/>
        <w:t>РЯЗАНСКОЙ ОБЛАСТИ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76" w:before="0" w:after="200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«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10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» января 2023  года       </w:t>
        <w:tab/>
        <w:t xml:space="preserve">                                                         № 4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Р.п. Гусь – Железный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О внесении изменений и дополнений в муниципальную  программу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на 2021 – 2024 годы»</w:t>
      </w:r>
    </w:p>
    <w:p>
      <w:pPr>
        <w:pStyle w:val="Normal"/>
        <w:widowControl w:val="false"/>
        <w:spacing w:lineRule="auto" w:line="240" w:before="0" w:after="0"/>
        <w:ind w:firstLine="540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Руководствуясь  стать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е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й 179 Бюджетного кодекса Российской Федерации,  статьями 14 и 17  Федерального закона от 06.10.2003 г. № 131- ФЗ «Об  общих принципах  организации  местного  самоуправления в  Российской  Федерации»,  Уставом  муниципального образования –Гусевское городское поселение, администрация Гусевского городского поселения </w:t>
      </w:r>
    </w:p>
    <w:p>
      <w:pPr>
        <w:pStyle w:val="Normal"/>
        <w:widowControl w:val="false"/>
        <w:spacing w:lineRule="auto" w:line="240" w:before="0" w:after="0"/>
        <w:ind w:firstLine="54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1. Внести изменения  в  муниципальную  программу 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Гусевского городское поселение Касимовского муниципального района  Рязанской области  на 2021 – 2024 годы» согласно приложению к настоящему постановлению.</w:t>
      </w:r>
    </w:p>
    <w:p>
      <w:pPr>
        <w:pStyle w:val="Normal"/>
        <w:spacing w:lineRule="auto" w:line="276" w:before="0" w:after="200"/>
        <w:rPr/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2.  Настоящее постановление вступает в силу со дня его подписания и подлежит официальному опубликованию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– Гусевское городское поселение Касимовского муниципального района Рязанской области в информационно - телекоммуникационной сети Интернет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 оставляю  за  собой.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Глава муниципального образования-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Гусевское городское поселение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Касимовского муниципального района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Рязанской области                                                                          Е.А. Химушина     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lang w:eastAsia="ru-RU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</w:t>
      </w:r>
      <w:r>
        <w:rPr>
          <w:rFonts w:eastAsia="Calibri" w:cs="Times New Roman" w:ascii="Times New Roman" w:hAnsi="Times New Roman"/>
          <w:lang w:eastAsia="ru-RU"/>
        </w:rPr>
        <w:t>к  Постановлению  главы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>муниципального образования –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 xml:space="preserve"> </w:t>
      </w:r>
      <w:r>
        <w:rPr>
          <w:rFonts w:eastAsia="Calibri" w:cs="Times New Roman" w:ascii="Times New Roman" w:hAnsi="Times New Roman"/>
          <w:lang w:eastAsia="ru-RU"/>
        </w:rPr>
        <w:t xml:space="preserve">Гусевское городское поселение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>Касимовского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lang w:eastAsia="ru-RU"/>
        </w:rPr>
        <w:t xml:space="preserve">  </w:t>
      </w:r>
      <w:r>
        <w:rPr>
          <w:rFonts w:eastAsia="Calibri" w:cs="Times New Roman" w:ascii="Times New Roman" w:hAnsi="Times New Roman"/>
          <w:lang w:eastAsia="ru-RU"/>
        </w:rPr>
        <w:t xml:space="preserve">от </w:t>
      </w:r>
      <w:r>
        <w:rPr>
          <w:rFonts w:eastAsia="Calibri" w:cs="Times New Roman" w:ascii="Times New Roman" w:hAnsi="Times New Roman"/>
          <w:lang w:eastAsia="ru-RU"/>
        </w:rPr>
        <w:t>10</w:t>
      </w:r>
      <w:r>
        <w:rPr>
          <w:rFonts w:eastAsia="Calibri" w:cs="Times New Roman" w:ascii="Times New Roman" w:hAnsi="Times New Roman"/>
          <w:lang w:eastAsia="ru-RU"/>
        </w:rPr>
        <w:t xml:space="preserve">  января 2023 г.  №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на 2021 – 2024 годы»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67"/>
        <w:gridCol w:w="6977"/>
      </w:tblGrid>
      <w:tr>
        <w:trPr>
          <w:trHeight w:val="1696" w:hRule="atLeast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Муниципальная программа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–Гусевское городское поселение Касимовского муниципального района  Рязанской области  на 2021 – 2024 годы» (далее – Программа)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Основание  для  разработки 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spacing w:lineRule="auto" w:line="276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      </w:r>
          </w:p>
          <w:p>
            <w:pPr>
              <w:pStyle w:val="Normal"/>
              <w:spacing w:lineRule="auto" w:line="276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Государственной программы Российской Федерации «Экономическое развитие и инновационная экономика», утвержденной распоряжением Правительства Российской Федерации от 29 марта 2013 года № 467-р;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Администрация муниципального образования – Гусевское городское поселение Касимовского района Рязанской  области (далее – Администрация)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Местоположение: 391320, Рязанская область,  Касимовский   район,  р.п. Гусь - Железный, ул. Набережная, д.3</w:t>
            </w:r>
          </w:p>
        </w:tc>
      </w:tr>
      <w:tr>
        <w:trPr>
          <w:trHeight w:val="620" w:hRule="atLeast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Администрация муниципального образования – Гусевское городское поселение Касимовского района Рязанской  области.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Администрация муниципального образования –Гусевское городское поселение Касимовского района Рязанской  области.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Создание правовых и экономических условий  для  развития  реализации  проектов местных  инициатив  в МО – Гусевское городское поселение;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- 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- поддержка инициатив граждан по решению вопросов местного значения;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- повышение  уровня  комплексного  благоустройства  территории городского парка  и    социально значимых  объектов;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- повышение качества жизни населения  Гусевского  городского поселения.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Целевые  индикаторы эффективности реализации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21" w:hanging="18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ежегодно заявленных социально-значимых проектов, на реализацию которого претендует население  – 3 ед.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bCs/>
                <w:sz w:val="28"/>
                <w:szCs w:val="28"/>
              </w:rPr>
              <w:t>Количество установленных детских и спортивных площадок к 2024 году – 4 шт.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Сроки и этапы  реализации 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Реализация Программы осуществляется в 2021 - 2024 годах.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Программа реализуется в один этап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Реализация Программы   происходит по принципу  целевого финансирования  мероприятий, указанных  в   муниципальной  программе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Объёмы  и источники  финансирования Программы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Общий объем финансирования  мероприятий Программы  (прогнозная оценка), предусматривающий   субсидии областного  бюджета – по итогам конкурса.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2022 г.  – Мероприятие 1.1 Реализация проекта местных  инициатив «Благоустройство спортивной площадки в  р.п. Гусь - Железный»  – по итогам конкурса;  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Общий объем финансирования  мероприятий Программы  (прогнозная оценка), предусматривающий средства бюджета муниципального образования  составляет  -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 xml:space="preserve">2 803 052,96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руб. из них по годам: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 средства местного  бюджета    -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 xml:space="preserve"> 560 610,96 рублей – 20% от общей стоимости проекта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добровольные пожертвования – 280 305 рублей - 10% от общей стоимости проекта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2023 г.  - Мероприятие 1.1 Реализация проекта местных  инициатив    «Устройство детской площадки в р.п. Гусь - Железный» -  2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290 093, 14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руб. 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 средства местного  бюджета    -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 xml:space="preserve"> 5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>72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> 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>524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>,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>14</w:t>
            </w:r>
            <w:r>
              <w:rPr>
                <w:rFonts w:eastAsia="Calibri" w:cs="Times New Roman" w:ascii="Times New Roman" w:hAnsi="Times New Roman"/>
                <w:spacing w:val="2"/>
                <w:sz w:val="28"/>
                <w:szCs w:val="28"/>
              </w:rPr>
              <w:t xml:space="preserve"> рублей – 25% от общей стоимости проекта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добровольные пожертвования – 10% от общей стоимости проекта – 22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009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,00 руб.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2024 год -   400172,00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Объёмы финансирования  Программы носят  прогнозный характер и подлежат ежегодному  уточнению.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Ожидаемые  конечные  результаты реализации Программы  и  показатели социально- экономической  эффективности.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Повышение количества ежегодно заявленных социально-значимых проектов, на реализацию которого претендует население  - 3 ед.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Calibri" w:cs="Arial" w:ascii="Times New Roman" w:hAnsi="Times New Roman"/>
                <w:bCs/>
                <w:sz w:val="28"/>
                <w:szCs w:val="28"/>
              </w:rPr>
              <w:t>Количество установленных детских и спортивных площадок  к 2024 году – 4 шт.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1. Общая характеристика, основные проблемы и прогноз развития местных инициатив в  муниципальном образовании – Гусевское городское поселение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Особое внимание органов ОМСУ МО – Гусевское городское поселение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ru-RU"/>
        </w:rPr>
        <w:t xml:space="preserve">главы администрации, обеспечивающих жизнедеятельность МО – Гусевское городское поселение.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также способствует развитию и поддержке гражданской активности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ab/>
        <w:t>Разработанная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социально-значимых проблем поселения.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инициативных групп, решает, какие мероприятия будут реализовывать, и какие усилия они готовы для этого затратить.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Реализация мероприятий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ОМСУ МО – Гусевское городское поселение.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2. Цель, задачи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Программа разработана с учётом приоритетов государственной (муниципальной) политики и направлена на создание комфортных условий жизнедеятельности на части территории МО – Гусевское городское поселение, обеспечение развития  дворовых, парковых территорий детскими спортивно-игровыми, открытыми спортивными площадками.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 рамках достижения цели «Повышение активности участия населения в осуществлении местного самоуправления и развития территории МО – Гусевское городское » необходимо обеспечить решение следующих задач: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Задача 1. Создание правовых и экономических условий по подготовке и внедрению  проектов местных инициатив с участием населения в МО – Гусевское городское поселение;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Задача 2. Повышение уровня комплексного обустройства части территории МО – Гусевское городское поселение.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Для оценки степени решения задач сформулированы следующие показатели.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Показателем решения задачи 1. «Создание правовых и экономических условий по подготовке и внедрению  проектов местных инициатив с участием населения в МО – Гусевское городское поселение» являются: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Количество ежегодно заявленных социально-значимых проектов, на реализацию которого претендует население, 3ед.;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Показателем решения задачи 2. «Повышение уровня комплексного обустройства части территории МО – Гусевское городское поселение. являются: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Количество установленных детских и спортивных площадок к 2024 году -  4 шт.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Благоустройство территории по ул. Центральная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Значения индикаторов по этапам и годам реализации Программы приведены в таблице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Механизм реализации Программы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Механизм реализации Программы основан на взаимодействии министерства по делам территориальных образований и общественных объединений  Рязанской области и администрации муниципального образования – Гусевское городское поселение осуществляющемся в рамках соглашений о предоставлении субсидий бюджету муниципального образования поселения на реализацию мероприятий Программы.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Проект местных инициатив – комплекс мероприятий, разработанный по инициативе физических лиц, юридических лиц, органов местного самоуправления. Планируемый к реализации муниципальным образованием и финансируемый в размере не менее 10% за счет добровольных пожертвований в виде денежных средств физических и (или) юридических лиц, направленный на размещение объектов благоустройства, направленных на обеспечение и повышение комфортности условий проживания граждан, поддерживание и улучшение санитарного и эстетического состояния территории, а также размещение элементов благоустройства территории и малых архитектурных форм, создание и обустройство спортивных и детских игровых площадок в целях реализации полномочий органов местного самоуправления по решению вопросов местного значения.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Исполнитель Программы является МО -  Гусевское городское поселение.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Администрация муниципального образования – Гусевское городское поселение осуществляет управление реализацией Программы, 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несет ответственность за подготовку и реализацию Программы в целом, включая подготовку проектов решений администрации городского поселения об утверждении Программы, внесении в нее изменений, досрочном прекращении реализации Программы;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осуществляет анализ использования средств  областного и местных бюджетов, привлеченных добровольных пожертвований физических и (или) юридических лиц и разрабатывает предложения по повышению эффективности использования финансовых ресурсов на реализацию Программы;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осуществляет приемку выполненных объемов работ;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выполняет иные функции в пределах своих полномочий.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Сроки и этапы реализации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outlineLvl w:val="1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Реализация Программы осуществляется в 2021 - 2024 годах в один этап.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center"/>
        <w:outlineLvl w:val="1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Ресурсное обеспечение Программы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Программа реализуется за счет средств  областного бюджета, местного бюджета и за счет добровольных пожертвований физических и (или) юридических лиц.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1600688,00 рублей, в том числе по годам: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2022 г. -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Мероприятие 1.1 Реализация проекта местных  инициатив «Благоустройство спортивной площадки в  р.п. Гусь – Железный Касимовского муниципального района Рязанской области»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- 2 803052,96  руб.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Общий объем финансирования  мероприятий Программы  (прогнозная оценка), предусматривающий  собственные  средства  жителей  муниципального образования – Гусевское городское поселение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составляет   не более 10% (физические – 5% и юридические – 5%  лица)   от объёма средств по  сметной документации,  из них по годам: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собственные  средства  жителей (физические – 5% и юридические – 5%  лица)  муниципального образования  - Гусевское городское поселение</w:t>
      </w: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2023 г. -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Мероприятие 1.1 Реализация проекта местных  инициатив «Устройство детской площадки в р.п. Гусь - Железный» -  2 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093,14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Добровольные пожертвования — 22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9 009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,00 руб. - 10%  от объёма средств по  сметной документации, из  них: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физические лица  5%;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- юридические лица 5% </w:t>
      </w:r>
    </w:p>
    <w:p>
      <w:pPr>
        <w:pStyle w:val="Normal"/>
        <w:widowControl w:val="false"/>
        <w:spacing w:lineRule="auto" w:line="276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С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редства местного  бюджета    -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 xml:space="preserve"> 5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>72 524,14</w:t>
      </w:r>
      <w:r>
        <w:rPr>
          <w:rFonts w:eastAsia="Calibri" w:cs="Times New Roman" w:ascii="Times New Roman" w:hAnsi="Times New Roman"/>
          <w:spacing w:val="2"/>
          <w:sz w:val="28"/>
          <w:szCs w:val="28"/>
        </w:rPr>
        <w:t xml:space="preserve"> рублей – 25% от общей стоимости проекта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2024 г. 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Мероприятие 1.1 Реализация проекта местных  инициатив «Обустройство  детской игровой площадки в  р.п. Гусь – Железный»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- 10 % от  объёма средств по  сметной документации.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Добровольные пожертвования 10%  от объёма средств по  сметной документации, из  них: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физические лица  5%;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юридические лица 5% 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Объём  финансирования  мероприятий программы </w:t>
      </w:r>
      <w:r>
        <w:rPr>
          <w:rFonts w:eastAsia="Calibri" w:cs="Arial" w:ascii="Times New Roman" w:hAnsi="Times New Roman"/>
          <w:sz w:val="28"/>
          <w:szCs w:val="28"/>
          <w:lang w:eastAsia="ru-RU"/>
        </w:rPr>
        <w:t>носит  прогнозный характер и подлежит ежегодному  уточнению.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 xml:space="preserve">6. Система программных мероприятий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Перечень основных мероприятий Программы с указанием сроков их реализации  представлены в  приложении    к  Программе.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7. Механизм  реализации Программы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Программа предусматривает  ответственность исполнителя  за реализацию  программных  мероприятий.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Ответственный  исполнитель Программы: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организует  реализацию программы, вносит  предложения о внесении  изменений в Программу и несёт  ответственность за  достижение показателей (индикаторов) Программы, а также  конечных  результатов её  реализации;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ежегодно, в установленный срок,  проводит  оценку  эффективности  реализации Программы;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формирует годовой  отчёт о ходе  реализации   мероприятий Программы.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 осуществляет закупку товаров, работ и услуг в целях реализации мероприятий Программы  в соответствии  с Федеральным  законом от 05.04.2013 г. № 44- ФЗ «О контрактной  системе в сфере  закупок товаров, работ, услуг  для обеспечения  государственных  и муниципальных  нужд»;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 заключает  Соглашение  с Министерством по делам территориальных  образований и общественных  объединений Рязанской  области  на  получение   предоставляемых  субсидии  из  областного бюджета, определённых объемами лимитов   бюджетных  обязательств, утверждённых  на  текущий  финансовый год и плановый период (далее – Соглашение)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8.    Ожидаемые  конечные  результаты реализации Программы и  показатели социально- экономической  эффективности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Показатели  социально- экономической  эффективности  при  реализации мероприятия местных инициатив  Программы  предполагают: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- повышение уровня взаимодействия органов местного самоуправления и населения;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- укрепление гражданского единства населения;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 xml:space="preserve">- увеличение количества  населения занятого в реализации  социально- значимых  проектов в рамках  муниципальных  инициатив   на  последующие годы;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ru-RU"/>
        </w:rPr>
        <w:t>- повышение количества  ежегодно заявленных социально- значимых  проектов, на  реализацию которых  претендует  население  до 3 ед.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- повышение качества  уровня  жизни  населения  муниципального образования  – Гусевское городское поселение.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ru-RU"/>
        </w:rPr>
        <w:t>9. Целевые  индикаторы эффективности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Оценка достижения цели Программы по годам ее реализации осуществляется с использованием целевых индикаторов  Программы</w:t>
      </w:r>
    </w:p>
    <w:tbl>
      <w:tblPr>
        <w:tblW w:w="923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24"/>
        <w:gridCol w:w="3306"/>
        <w:gridCol w:w="1471"/>
        <w:gridCol w:w="1013"/>
        <w:gridCol w:w="1012"/>
        <w:gridCol w:w="942"/>
        <w:gridCol w:w="868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Реализация 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год</w:t>
            </w:r>
          </w:p>
        </w:tc>
      </w:tr>
      <w:tr>
        <w:trPr>
          <w:trHeight w:val="7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ежегодно заявленных социально значимых проектов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Численность добровольцев/волонтеров принимающих участие в  реализации проектов  местных  инициатив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Количество  подготовленных  информационных материалов по вопросам участия населения в осуществлении  проектов  местных  инициатив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Численность участников мероприятий, организованных 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территориальным общественным самоуправлением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по  реализации проектов  местных  инициатив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732e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732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LibreOffice/6.0.5.2$Windows_x86 LibreOffice_project/54c8cbb85f300ac59db32fe8a675ff7683cd5a16</Application>
  <Pages>9</Pages>
  <Words>1972</Words>
  <Characters>14566</Characters>
  <CharactersWithSpaces>17035</CharactersWithSpaces>
  <Paragraphs>167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2023-01-31T11:26:00Z</dcterms:created>
  <dc:creator>Glava</dc:creator>
  <dc:description/>
  <dc:language>ru-RU</dc:language>
  <cp:lastModifiedBy/>
  <cp:lastPrinted>2023-01-31T11:46:00Z</cp:lastPrinted>
  <dcterms:modified xsi:type="dcterms:W3CDTF">2023-02-01T17:41:37Z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