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КАМЧАТСКИЙ КРАЙ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ТИГИЛЬСКИЙ РАЙОН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«село Седанка »</w:t>
      </w:r>
    </w:p>
    <w:p>
      <w:pPr>
        <w:pStyle w:val="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pStyle w:val="5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>
      <w:pPr>
        <w:pStyle w:val="5"/>
        <w:widowControl/>
        <w:ind w:left="4322" w:right="0" w:hanging="4322" w:hangingChars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26 »  декабря 2023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№ 12 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бюджете муниципального образования сельского поселения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«село Седанка» на 2024 год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от 26  декабря 2023 года </w:t>
      </w:r>
      <w:r>
        <w:rPr>
          <w:rFonts w:hint="default" w:ascii="Times New Roman" w:hAnsi="Times New Roman" w:cs="Times New Roman"/>
          <w:b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>№ 12</w:t>
      </w:r>
    </w:p>
    <w:p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принято Советом депутатов муниципального образования сельского поселения «село Седанка» </w:t>
      </w:r>
    </w:p>
    <w:p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от  26 декабря 2023г. № 12</w:t>
      </w:r>
    </w:p>
    <w:p>
      <w:pPr>
        <w:pStyle w:val="5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основные характеристики бюджета поселения на 2024 год: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общий объем доходов бюджета поселения в сумме 23 636,81187 тыс. рублей, в том числе объем межбюджетных трансфертов, получаемых из других бюджетов бюджетной системы Российской Федерации в сумме 20 079,39187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общий объем расходов бюджета поселения в сумме 23 636,81187 тыс. рублей, в том числе на исполнение публичных нормативных обязательств в сумме 1 467,00000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дефицит (профицит) бюджета поселения в сумме 0,00000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размер резервного фонда администрации сельского поселения в сумме 100,00000 тыс. рублей.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Утвердить источники финансирования дефицита бюджета поселения на 2024 год согласно приложению 2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Установить, что в бюджет поселения в 2024 году подлежат зачислению: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Федерации, Камчатского края и муниципальными правовыми актами Тигильского муниципального района.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Безвозмездные поступления в соответствии с бюджетным законодательством Российской Федерации, Камчатского края и муниципальными правовыми актами Тигильского муниципального района.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Учесть в бюджете на 2024 год поступление доходов бюджета поселения согласно приложению 1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3.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согласно приложению 3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ведомственную структуру расходов бюджета поселения на 2024 год согласно приложению 4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распределение бюджетных ассигнований дорожного фонда поселения на 2024 год согласно приложению 5 к настоящему решению.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Утвердить распределение бюджетных ассигнований на реализацию муниципальных программ на 2024 год согласно приложению 6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4.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«село Седанка» вправе осуществлять муниципальные заимствования и принимать решения о предоставлении муниципальных гарантий заемщикам для привлечения кредитов в соответствии с Программой муниципальных гарантий сельского поселения «село Седанка» в валюте Российской Федерации на 2024 год согласно приложению 7 к настоящему решению и Программой муниципальных заимствований на 2024 согласно приложению 8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верхний предел муниципального внутреннего долга сельского поселения «село Седанка»  на 1 января 2025 года по долговым обязательствам сельского поселения «село Седанка»  в сумме 0,00000 тыс. рублей, в том числе верхний предел внешнего долга по муниципальным гарантиям сельского поселения «село Седанка» в размере 0,00000 тыс. рублей.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5.</w:t>
      </w:r>
    </w:p>
    <w:p>
      <w:pPr>
        <w:suppressAutoHyphen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Установить, что в соответствии с соглашением «О передаче части полномочий по решению вопросов местного значения поселения по формированию и исполнению бюджета поселения» перечисляются иные межбюджетные трансферты бюджету Тигильского муниципального района.</w:t>
      </w:r>
    </w:p>
    <w:p>
      <w:pPr>
        <w:suppressAutoHyphen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распределение иных межбюджетных трансфертов, представляемых бюджету Тигильского муниципального района из бюджета сельского поселения на 2024 год согласно приложению 10 к настоящему решению.</w:t>
      </w:r>
    </w:p>
    <w:p>
      <w:pPr>
        <w:suppressAutoHyphen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Иные межбюджетные трансферты перечисляются бюджетам сельских поселений в соответствии со статьей 215.1 Бюджетного кодекса Российской Федерации на лицевые счета, открытые в Управлении Федерального казначейства по Камчатскому краю для казначейского обслуживания исполнения местных бюджетов.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операций, связанных с использованием иных межбюджетных трансфертов осуществляется на лицевых счетах получателей средств местного бюджета, открытых в отделениях Управления Федерального казначейства по Камчатскому краю.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6.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Установить, что заключение и оплата муниципальных контрактов, иных договоров, подлежащих исполнению за счет бюджетных средств, муниципальными казенными учреждениями с учетом ранее принятых и неисполненных обязательств, исполнение которых  осуществляется за счет средств бюджета поселения, производится в пределах доведенных им лимитов бюджетных обязательств.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Принятие муниципальными казенными учреждениями расходных обязательств, сверх доведенных им лимитов бюджетных обязательств на 2024 год не подлежит оплате за счет средств бюджета поселения в 2024 году.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Неиспользованные лимиты бюджетных обязательств и объемы финансирования  бюджета поселения на 2024 год прекращают свое действие 31 декабря 2024 года в  соответствии с порядком завершения операций по исполнению бюджета в текущем финансовом году.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7.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 сельского поселения не вправе принимать в 2024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8.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не использованные по состоянию на 1 января 2024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2024 года.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Неиспользованные в 2024 году целевые средства, переданные из районного бюджета в бюджет поселения в виде субвенций и иных межбюджетных трансфертов, подлежат возврату в доход районного бюджета в соответствии с порядком, установленным Финансовым управлением Администрации Тигильского муниципального района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  <w:lang w:eastAsia="en-US"/>
        </w:rPr>
        <w:t>9.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исполнение судебных актов по обращению взыскания на средства поселения производятся в соответствии с Бюджетным Кодексом Российской Федерации на основании исполнительных документов с указанием сумм, подлежащих взысканию, а также в соответствии с установленными требованиями Гражданского процессуального кодекса Российской Федерации.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10.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Установить, что Финансовое управление Администрации Тигильского муниципального района</w:t>
      </w:r>
      <w:r>
        <w:rPr>
          <w:rFonts w:ascii="Times New Roman" w:hAnsi="Times New Roman" w:cs="Times New Roman"/>
        </w:rPr>
        <w:t xml:space="preserve"> представляет в Собрание депутатов муниципального образования сельского поселения «село Седанка» ежемесячные отчеты о кассовом исполнении бюджета сельского поселения «село Седанка» по форме отчетности, утвержденной Министерством финансов Российской Федерации.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11.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35 Бюджетного кодекса Российской Федерации установить, что доходы бюджета поселения от добровольных взносов, пожертвований муниципальным казенным учреждениям, поступающие в бюджет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12.</w:t>
      </w:r>
    </w:p>
    <w:p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бюджетные ассигнования на обеспечение выполнения функций муниципальных учреждений, финансируемых из бюджета поселения, в части оплаты труда работников предусматриваются с учетом увеличения с 1 января 2024 года на 5,5 процента.</w:t>
      </w:r>
    </w:p>
    <w:p>
      <w:pPr>
        <w:pStyle w:val="4"/>
        <w:ind w:firstLine="720"/>
        <w:rPr>
          <w:sz w:val="24"/>
        </w:rPr>
      </w:pPr>
      <w:r>
        <w:rPr>
          <w:sz w:val="24"/>
        </w:rPr>
        <w:t>2. Установить, что бюджетные ассигнования на обеспечение выполнения функций органов местного самоуправления сельского поселения «село Седанка», в части оплаты труда работников, занимающих должности служащих, а также работающих по профессиям рабочих, предусматриваются с учетом увеличения с 1 января 2024 года на 5,5 процента.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pStyle w:val="4"/>
        <w:ind w:firstLine="720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ind w:firstLine="720"/>
        <w:rPr>
          <w:sz w:val="24"/>
        </w:rPr>
      </w:pPr>
    </w:p>
    <w:p>
      <w:pPr>
        <w:pStyle w:val="4"/>
        <w:rPr>
          <w:sz w:val="24"/>
        </w:rPr>
      </w:pPr>
      <w:r>
        <w:rPr>
          <w:sz w:val="24"/>
        </w:rPr>
        <w:t xml:space="preserve">Глава сельского поселения </w:t>
      </w:r>
    </w:p>
    <w:p>
      <w:pPr>
        <w:pStyle w:val="4"/>
        <w:rPr>
          <w:sz w:val="24"/>
        </w:rPr>
      </w:pPr>
      <w:r>
        <w:rPr>
          <w:sz w:val="24"/>
        </w:rPr>
        <w:t>«село Седанка»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Н.А. Москалёв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054A4"/>
    <w:multiLevelType w:val="multilevel"/>
    <w:tmpl w:val="289054A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65D29"/>
    <w:multiLevelType w:val="multilevel"/>
    <w:tmpl w:val="3A465D2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customStyle="1" w:styleId="5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2023-12-26T00:06:56Z</dcterms:created>
  <dc:creator>Admin</dc:creator>
  <cp:lastModifiedBy>Admin</cp:lastModifiedBy>
  <cp:lastPrinted>2023-12-26T00:15:08Z</cp:lastPrinted>
  <dcterms:modified xsi:type="dcterms:W3CDTF">2023-12-26T00:17:28Z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640356513B2640E9ADD276F5FC78C30B_12</vt:lpwstr>
  </property>
</Properties>
</file>