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9E" w:rsidRPr="00085B9E" w:rsidRDefault="00085B9E" w:rsidP="00085B9E">
      <w:pPr>
        <w:keepNext/>
        <w:spacing w:before="240" w:after="60" w:line="240" w:lineRule="auto"/>
        <w:jc w:val="center"/>
        <w:outlineLvl w:val="1"/>
        <w:rPr>
          <w:rFonts w:ascii="Arial" w:hAnsi="Arial"/>
          <w:b/>
          <w:sz w:val="32"/>
          <w:szCs w:val="20"/>
          <w:lang w:val="en-US" w:eastAsia="ru-RU"/>
        </w:rPr>
      </w:pPr>
      <w:r w:rsidRPr="00085B9E">
        <w:rPr>
          <w:rFonts w:ascii="Arial" w:hAnsi="Arial"/>
          <w:b/>
          <w:i/>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4450080</wp:posOffset>
                </wp:positionH>
                <wp:positionV relativeFrom="paragraph">
                  <wp:posOffset>360045</wp:posOffset>
                </wp:positionV>
                <wp:extent cx="1583055" cy="23749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B9E" w:rsidRPr="008277B7" w:rsidRDefault="00085B9E" w:rsidP="00085B9E">
                            <w:pPr>
                              <w:rPr>
                                <w:szCs w:val="4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50.4pt;margin-top:28.35pt;width:124.65pt;height:1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" stroked="f">
                <v:textbox style="mso-fit-shape-to-text:t">
                  <w:txbxContent>
                    <w:p w:rsidR="00085B9E" w:rsidRPr="008277B7" w:rsidRDefault="00085B9E" w:rsidP="00085B9E">
                      <w:pPr>
                        <w:rPr>
                          <w:szCs w:val="44"/>
                        </w:rPr>
                      </w:pPr>
                    </w:p>
                  </w:txbxContent>
                </v:textbox>
              </v:shape>
            </w:pict>
          </mc:Fallback>
        </mc:AlternateContent>
      </w:r>
      <w:r w:rsidRPr="00085B9E">
        <w:rPr>
          <w:rFonts w:ascii="Arial" w:hAnsi="Arial"/>
          <w:b/>
          <w:i/>
          <w:noProof/>
          <w:sz w:val="28"/>
          <w:szCs w:val="20"/>
          <w:lang w:eastAsia="ru-RU"/>
        </w:rPr>
        <w:drawing>
          <wp:inline distT="0" distB="0" distL="0" distR="0">
            <wp:extent cx="701040" cy="9448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1040" cy="944880"/>
                    </a:xfrm>
                    <a:prstGeom prst="rect">
                      <a:avLst/>
                    </a:prstGeom>
                    <a:noFill/>
                    <a:ln>
                      <a:noFill/>
                    </a:ln>
                  </pic:spPr>
                </pic:pic>
              </a:graphicData>
            </a:graphic>
          </wp:inline>
        </w:drawing>
      </w:r>
    </w:p>
    <w:p w:rsidR="00085B9E" w:rsidRPr="005716CA" w:rsidRDefault="00085B9E" w:rsidP="00085B9E">
      <w:pPr>
        <w:keepNext/>
        <w:widowControl w:val="0"/>
        <w:spacing w:after="0" w:line="240" w:lineRule="auto"/>
        <w:jc w:val="center"/>
        <w:outlineLvl w:val="0"/>
        <w:rPr>
          <w:rFonts w:ascii="Times New Roman" w:hAnsi="Times New Roman"/>
          <w:b/>
          <w:sz w:val="24"/>
          <w:szCs w:val="20"/>
          <w:lang w:eastAsia="ru-RU"/>
        </w:rPr>
      </w:pPr>
      <w:r w:rsidRPr="005716CA">
        <w:rPr>
          <w:rFonts w:ascii="Times New Roman" w:hAnsi="Times New Roman"/>
          <w:b/>
          <w:sz w:val="32"/>
          <w:szCs w:val="20"/>
          <w:lang w:eastAsia="ru-RU"/>
        </w:rPr>
        <w:t>Сельская Дума</w:t>
      </w:r>
      <w:r w:rsidRPr="005716CA">
        <w:rPr>
          <w:rFonts w:ascii="Times New Roman" w:hAnsi="Times New Roman"/>
          <w:b/>
          <w:sz w:val="24"/>
          <w:szCs w:val="20"/>
          <w:lang w:eastAsia="ru-RU"/>
        </w:rPr>
        <w:t xml:space="preserve"> </w:t>
      </w:r>
    </w:p>
    <w:p w:rsidR="00085B9E" w:rsidRPr="005716CA" w:rsidRDefault="00085B9E" w:rsidP="00085B9E">
      <w:pPr>
        <w:widowControl w:val="0"/>
        <w:spacing w:after="0" w:line="240" w:lineRule="auto"/>
        <w:rPr>
          <w:rFonts w:ascii="Times New Roman" w:hAnsi="Times New Roman"/>
          <w:sz w:val="20"/>
          <w:szCs w:val="20"/>
          <w:lang w:eastAsia="ru-RU"/>
        </w:rPr>
      </w:pPr>
    </w:p>
    <w:p w:rsidR="00085B9E" w:rsidRPr="005716CA" w:rsidRDefault="00085B9E" w:rsidP="00085B9E">
      <w:pPr>
        <w:widowControl w:val="0"/>
        <w:spacing w:after="0" w:line="240" w:lineRule="auto"/>
        <w:jc w:val="center"/>
        <w:rPr>
          <w:rFonts w:ascii="Times New Roman" w:hAnsi="Times New Roman"/>
          <w:b/>
          <w:sz w:val="32"/>
          <w:szCs w:val="20"/>
          <w:lang w:eastAsia="ru-RU"/>
        </w:rPr>
      </w:pPr>
      <w:r w:rsidRPr="005716CA">
        <w:rPr>
          <w:rFonts w:ascii="Times New Roman" w:hAnsi="Times New Roman"/>
          <w:b/>
          <w:sz w:val="32"/>
          <w:szCs w:val="20"/>
          <w:lang w:eastAsia="ru-RU"/>
        </w:rPr>
        <w:t xml:space="preserve">муниципального образования </w:t>
      </w:r>
    </w:p>
    <w:p w:rsidR="00085B9E" w:rsidRPr="005716CA" w:rsidRDefault="00085B9E" w:rsidP="00085B9E">
      <w:pPr>
        <w:widowControl w:val="0"/>
        <w:spacing w:after="0" w:line="240" w:lineRule="auto"/>
        <w:jc w:val="center"/>
        <w:rPr>
          <w:rFonts w:ascii="Times New Roman" w:hAnsi="Times New Roman"/>
          <w:b/>
          <w:sz w:val="32"/>
          <w:szCs w:val="20"/>
          <w:lang w:eastAsia="ru-RU"/>
        </w:rPr>
      </w:pPr>
      <w:r w:rsidRPr="005716CA">
        <w:rPr>
          <w:rFonts w:ascii="Times New Roman" w:hAnsi="Times New Roman"/>
          <w:b/>
          <w:sz w:val="32"/>
          <w:szCs w:val="20"/>
          <w:lang w:eastAsia="ru-RU"/>
        </w:rPr>
        <w:t>сельское поселение деревня Верховье</w:t>
      </w:r>
    </w:p>
    <w:p w:rsidR="00085B9E" w:rsidRPr="005716CA" w:rsidRDefault="00085B9E" w:rsidP="00085B9E">
      <w:pPr>
        <w:widowControl w:val="0"/>
        <w:spacing w:after="0" w:line="240" w:lineRule="auto"/>
        <w:jc w:val="center"/>
        <w:rPr>
          <w:rFonts w:ascii="Times New Roman" w:hAnsi="Times New Roman"/>
          <w:b/>
          <w:sz w:val="32"/>
          <w:szCs w:val="20"/>
          <w:lang w:eastAsia="ru-RU"/>
        </w:rPr>
      </w:pPr>
      <w:r w:rsidRPr="005716CA">
        <w:rPr>
          <w:rFonts w:ascii="Times New Roman" w:hAnsi="Times New Roman"/>
          <w:b/>
          <w:sz w:val="32"/>
          <w:szCs w:val="20"/>
          <w:lang w:eastAsia="ru-RU"/>
        </w:rPr>
        <w:t>Жуковского района</w:t>
      </w:r>
    </w:p>
    <w:p w:rsidR="00085B9E" w:rsidRPr="005716CA" w:rsidRDefault="00085B9E" w:rsidP="00085B9E">
      <w:pPr>
        <w:keepNext/>
        <w:keepLines/>
        <w:widowControl w:val="0"/>
        <w:tabs>
          <w:tab w:val="center" w:pos="4677"/>
          <w:tab w:val="left" w:pos="7425"/>
        </w:tabs>
        <w:spacing w:before="200" w:after="0" w:line="240" w:lineRule="auto"/>
        <w:outlineLvl w:val="3"/>
        <w:rPr>
          <w:rFonts w:ascii="Times New Roman" w:hAnsi="Times New Roman"/>
          <w:b/>
          <w:bCs/>
          <w:iCs/>
          <w:sz w:val="32"/>
          <w:szCs w:val="20"/>
          <w:lang w:eastAsia="ru-RU"/>
        </w:rPr>
      </w:pPr>
      <w:r w:rsidRPr="005716CA">
        <w:rPr>
          <w:rFonts w:ascii="Times New Roman" w:hAnsi="Times New Roman"/>
          <w:b/>
          <w:bCs/>
          <w:iCs/>
          <w:sz w:val="32"/>
          <w:szCs w:val="20"/>
          <w:lang w:eastAsia="ru-RU"/>
        </w:rPr>
        <w:tab/>
        <w:t>Калужской области</w:t>
      </w:r>
      <w:r w:rsidRPr="005716CA">
        <w:rPr>
          <w:rFonts w:ascii="Times New Roman" w:hAnsi="Times New Roman"/>
          <w:b/>
          <w:bCs/>
          <w:iCs/>
          <w:sz w:val="32"/>
          <w:szCs w:val="20"/>
          <w:lang w:eastAsia="ru-RU"/>
        </w:rPr>
        <w:tab/>
      </w:r>
    </w:p>
    <w:p w:rsidR="00085B9E" w:rsidRPr="005716CA" w:rsidRDefault="00085B9E" w:rsidP="00085B9E">
      <w:pPr>
        <w:keepNext/>
        <w:keepLines/>
        <w:widowControl w:val="0"/>
        <w:spacing w:before="200" w:after="0" w:line="240" w:lineRule="auto"/>
        <w:jc w:val="center"/>
        <w:outlineLvl w:val="3"/>
        <w:rPr>
          <w:rFonts w:ascii="Times New Roman" w:hAnsi="Times New Roman"/>
          <w:b/>
          <w:bCs/>
          <w:iCs/>
          <w:sz w:val="32"/>
          <w:szCs w:val="20"/>
          <w:lang w:eastAsia="ru-RU"/>
        </w:rPr>
      </w:pPr>
      <w:r w:rsidRPr="005716CA">
        <w:rPr>
          <w:rFonts w:ascii="Times New Roman" w:hAnsi="Times New Roman"/>
          <w:b/>
          <w:bCs/>
          <w:iCs/>
          <w:sz w:val="32"/>
          <w:szCs w:val="20"/>
          <w:lang w:eastAsia="ru-RU"/>
        </w:rPr>
        <w:t xml:space="preserve">Р Е Ш Е Н И Е </w:t>
      </w:r>
    </w:p>
    <w:p w:rsidR="00085B9E" w:rsidRPr="005716CA" w:rsidRDefault="00085B9E" w:rsidP="00085B9E">
      <w:pPr>
        <w:widowControl w:val="0"/>
        <w:spacing w:after="0" w:line="240" w:lineRule="auto"/>
        <w:jc w:val="center"/>
        <w:rPr>
          <w:rFonts w:ascii="Times New Roman" w:hAnsi="Times New Roman"/>
          <w:sz w:val="24"/>
          <w:szCs w:val="20"/>
          <w:lang w:eastAsia="ru-RU"/>
        </w:rPr>
      </w:pPr>
      <w:r w:rsidRPr="005716CA">
        <w:rPr>
          <w:rFonts w:ascii="Times New Roman" w:hAnsi="Times New Roman"/>
          <w:sz w:val="24"/>
          <w:szCs w:val="20"/>
          <w:lang w:eastAsia="ru-RU"/>
        </w:rPr>
        <w:t>д. Верховье</w:t>
      </w:r>
    </w:p>
    <w:p w:rsidR="00085B9E" w:rsidRPr="00085B9E" w:rsidRDefault="00085B9E" w:rsidP="00085B9E">
      <w:pPr>
        <w:spacing w:after="0" w:line="240" w:lineRule="auto"/>
        <w:rPr>
          <w:rFonts w:ascii="Times New Roman" w:hAnsi="Times New Roman"/>
          <w:sz w:val="20"/>
          <w:szCs w:val="20"/>
          <w:lang w:eastAsia="ru-RU"/>
        </w:rPr>
      </w:pPr>
    </w:p>
    <w:p w:rsidR="00085B9E" w:rsidRPr="00085B9E" w:rsidRDefault="00085B9E" w:rsidP="00085B9E">
      <w:pPr>
        <w:spacing w:after="0" w:line="480" w:lineRule="auto"/>
        <w:rPr>
          <w:rFonts w:ascii="Times New Roman" w:hAnsi="Times New Roman"/>
          <w:b/>
          <w:sz w:val="20"/>
          <w:szCs w:val="20"/>
          <w:lang w:eastAsia="ru-RU"/>
        </w:rPr>
      </w:pPr>
      <w:r w:rsidRPr="00085B9E">
        <w:rPr>
          <w:rFonts w:ascii="Times New Roman" w:hAnsi="Times New Roman"/>
          <w:b/>
          <w:sz w:val="26"/>
          <w:szCs w:val="26"/>
          <w:lang w:eastAsia="ru-RU"/>
        </w:rPr>
        <w:t xml:space="preserve">от </w:t>
      </w:r>
      <w:proofErr w:type="gramStart"/>
      <w:r w:rsidRPr="00085B9E">
        <w:rPr>
          <w:rFonts w:ascii="Times New Roman" w:hAnsi="Times New Roman"/>
          <w:b/>
          <w:sz w:val="26"/>
          <w:szCs w:val="26"/>
          <w:lang w:eastAsia="ru-RU"/>
        </w:rPr>
        <w:t xml:space="preserve">« </w:t>
      </w:r>
      <w:r w:rsidR="00437013">
        <w:rPr>
          <w:rFonts w:ascii="Times New Roman" w:hAnsi="Times New Roman"/>
          <w:b/>
          <w:sz w:val="26"/>
          <w:szCs w:val="26"/>
          <w:lang w:eastAsia="ru-RU"/>
        </w:rPr>
        <w:t>05</w:t>
      </w:r>
      <w:proofErr w:type="gramEnd"/>
      <w:r w:rsidRPr="00085B9E">
        <w:rPr>
          <w:rFonts w:ascii="Times New Roman" w:hAnsi="Times New Roman"/>
          <w:b/>
          <w:sz w:val="26"/>
          <w:szCs w:val="26"/>
          <w:lang w:eastAsia="ru-RU"/>
        </w:rPr>
        <w:t xml:space="preserve">  » </w:t>
      </w:r>
      <w:r w:rsidR="005823BC">
        <w:rPr>
          <w:rFonts w:ascii="Times New Roman" w:hAnsi="Times New Roman"/>
          <w:b/>
          <w:sz w:val="26"/>
          <w:szCs w:val="26"/>
          <w:lang w:eastAsia="ru-RU"/>
        </w:rPr>
        <w:t xml:space="preserve"> декабря</w:t>
      </w:r>
      <w:r w:rsidRPr="00085B9E">
        <w:rPr>
          <w:rFonts w:ascii="Times New Roman" w:hAnsi="Times New Roman"/>
          <w:b/>
          <w:sz w:val="26"/>
          <w:szCs w:val="26"/>
          <w:lang w:eastAsia="ru-RU"/>
        </w:rPr>
        <w:t xml:space="preserve">  2023 г.                                                                             №</w:t>
      </w:r>
      <w:r w:rsidR="00437013">
        <w:rPr>
          <w:rFonts w:ascii="Times New Roman" w:hAnsi="Times New Roman"/>
          <w:b/>
          <w:sz w:val="26"/>
          <w:szCs w:val="26"/>
          <w:lang w:eastAsia="ru-RU"/>
        </w:rPr>
        <w:t xml:space="preserve"> 65</w:t>
      </w:r>
    </w:p>
    <w:p w:rsidR="00085B9E" w:rsidRPr="00085B9E" w:rsidRDefault="00085B9E" w:rsidP="00085B9E">
      <w:pPr>
        <w:keepNext/>
        <w:spacing w:before="240" w:after="60" w:line="240" w:lineRule="auto"/>
        <w:ind w:firstLine="488"/>
        <w:jc w:val="center"/>
        <w:outlineLvl w:val="1"/>
        <w:rPr>
          <w:rFonts w:ascii="Times New Roman" w:hAnsi="Times New Roman"/>
          <w:b/>
          <w:sz w:val="28"/>
          <w:szCs w:val="28"/>
          <w:lang w:eastAsia="ru-RU"/>
        </w:rPr>
      </w:pPr>
      <w:r w:rsidRPr="00085B9E">
        <w:rPr>
          <w:rFonts w:ascii="Times New Roman" w:hAnsi="Times New Roman"/>
          <w:b/>
          <w:sz w:val="28"/>
          <w:szCs w:val="28"/>
          <w:lang w:eastAsia="ru-RU"/>
        </w:rPr>
        <w:t>«О бюджете сельского поселения деревня Верховье на 2024 год и на плановый период 2025 и 2026 годов»</w:t>
      </w:r>
    </w:p>
    <w:p w:rsidR="00085B9E" w:rsidRPr="00E72716" w:rsidRDefault="00085B9E" w:rsidP="00085B9E">
      <w:pPr>
        <w:spacing w:after="0" w:line="240" w:lineRule="auto"/>
        <w:jc w:val="both"/>
        <w:rPr>
          <w:rFonts w:ascii="Times New Roman" w:hAnsi="Times New Roman"/>
          <w:sz w:val="23"/>
          <w:szCs w:val="23"/>
          <w:lang w:eastAsia="ru-RU"/>
        </w:rPr>
      </w:pPr>
    </w:p>
    <w:p w:rsidR="00E72716" w:rsidRPr="00E72716" w:rsidRDefault="00085B9E" w:rsidP="00E72716">
      <w:pPr>
        <w:spacing w:after="0"/>
        <w:jc w:val="both"/>
        <w:rPr>
          <w:rFonts w:ascii="Times New Roman" w:hAnsi="Times New Roman"/>
          <w:sz w:val="23"/>
          <w:szCs w:val="23"/>
        </w:rPr>
      </w:pPr>
      <w:r w:rsidRPr="00E72716">
        <w:rPr>
          <w:rFonts w:ascii="Times New Roman" w:hAnsi="Times New Roman"/>
          <w:sz w:val="23"/>
          <w:szCs w:val="23"/>
          <w:lang w:eastAsia="ru-RU"/>
        </w:rPr>
        <w:tab/>
      </w:r>
      <w:r w:rsidR="00E72716" w:rsidRPr="00E72716">
        <w:rPr>
          <w:rFonts w:ascii="Times New Roman" w:hAnsi="Times New Roman"/>
          <w:sz w:val="23"/>
          <w:szCs w:val="23"/>
        </w:rPr>
        <w:t>1. Основные характеристики бюджета сельского поселения деревня Верховье (далее – местный бюджет) на 2024 год и на плановый период 2025 и 2026 годов.</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1.1. Утвердить основные характеристики местного бюджета на 2024 год:</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общий объем доходов местного бюджета в сумме 41 167,46 тыс. рублей, в том числе безвозмездные поступления в сумме 6 304,46 тыс. рублей;</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общий объем расходов местного бюджета в сумме 41 167,46 тыс. рублей;</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нормативную величину резервного фонда администрации</w:t>
      </w:r>
      <w:r w:rsidRPr="00E72716">
        <w:rPr>
          <w:rFonts w:ascii="Times New Roman" w:hAnsi="Times New Roman"/>
          <w:b/>
          <w:sz w:val="23"/>
          <w:szCs w:val="23"/>
        </w:rPr>
        <w:t xml:space="preserve"> </w:t>
      </w:r>
      <w:r w:rsidRPr="00E72716">
        <w:rPr>
          <w:rFonts w:ascii="Times New Roman" w:hAnsi="Times New Roman"/>
          <w:sz w:val="23"/>
          <w:szCs w:val="23"/>
        </w:rPr>
        <w:t>СП деревня Верховье в сумме 50,0 тыс. рублей;</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 xml:space="preserve">верхний </w:t>
      </w:r>
      <w:proofErr w:type="gramStart"/>
      <w:r w:rsidRPr="00E72716">
        <w:rPr>
          <w:rFonts w:ascii="Times New Roman" w:hAnsi="Times New Roman"/>
          <w:sz w:val="23"/>
          <w:szCs w:val="23"/>
        </w:rPr>
        <w:t>предел  муниципального</w:t>
      </w:r>
      <w:proofErr w:type="gramEnd"/>
      <w:r w:rsidRPr="00E72716">
        <w:rPr>
          <w:rFonts w:ascii="Times New Roman" w:hAnsi="Times New Roman"/>
          <w:sz w:val="23"/>
          <w:szCs w:val="23"/>
        </w:rPr>
        <w:t xml:space="preserve"> долга на 1 января 2025 года в сумме 0 тыс. руб., в том числе верхний предел долга по муниципальным гарантиям 0 тыс. рублей.</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 xml:space="preserve">Дефицит </w:t>
      </w:r>
      <w:proofErr w:type="gramStart"/>
      <w:r w:rsidRPr="00E72716">
        <w:rPr>
          <w:rFonts w:ascii="Times New Roman" w:hAnsi="Times New Roman"/>
          <w:sz w:val="23"/>
          <w:szCs w:val="23"/>
        </w:rPr>
        <w:t>( профицит</w:t>
      </w:r>
      <w:proofErr w:type="gramEnd"/>
      <w:r w:rsidRPr="00E72716">
        <w:rPr>
          <w:rFonts w:ascii="Times New Roman" w:hAnsi="Times New Roman"/>
          <w:sz w:val="23"/>
          <w:szCs w:val="23"/>
        </w:rPr>
        <w:t xml:space="preserve"> ) местного бюджета в 2024 году отсутствует.</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1.2. Утвердить основные характеристики местного бюджета на 2025 год и на 2026 год:</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общий объем доходов местного бюджета на 2025 год в сумме 40 526,41 тыс. рублей, в том числе безвозмездные поступления в сумме 5 315,</w:t>
      </w:r>
      <w:proofErr w:type="gramStart"/>
      <w:r w:rsidRPr="00E72716">
        <w:rPr>
          <w:rFonts w:ascii="Times New Roman" w:hAnsi="Times New Roman"/>
          <w:sz w:val="23"/>
          <w:szCs w:val="23"/>
        </w:rPr>
        <w:t>41  тыс.</w:t>
      </w:r>
      <w:proofErr w:type="gramEnd"/>
      <w:r w:rsidRPr="00E72716">
        <w:rPr>
          <w:rFonts w:ascii="Times New Roman" w:hAnsi="Times New Roman"/>
          <w:sz w:val="23"/>
          <w:szCs w:val="23"/>
        </w:rPr>
        <w:t xml:space="preserve"> рублей и на 2026 год в сумме 42 461,88 тыс. рублей, в том числе безвозмездные поступления в сумме 6 898,88 тыс. рублей;</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 xml:space="preserve">общий объем расходов местного бюджета на 2025 год в сумме 40 526,41 тыс. рублей, в том числе условно утвержденные расходы в </w:t>
      </w:r>
      <w:proofErr w:type="gramStart"/>
      <w:r w:rsidRPr="00E72716">
        <w:rPr>
          <w:rFonts w:ascii="Times New Roman" w:hAnsi="Times New Roman"/>
          <w:sz w:val="23"/>
          <w:szCs w:val="23"/>
        </w:rPr>
        <w:t>сумме  907</w:t>
      </w:r>
      <w:proofErr w:type="gramEnd"/>
      <w:r w:rsidRPr="00E72716">
        <w:rPr>
          <w:rFonts w:ascii="Times New Roman" w:hAnsi="Times New Roman"/>
          <w:sz w:val="23"/>
          <w:szCs w:val="23"/>
        </w:rPr>
        <w:t>,78 тыс. рублей и на 2026 год в сумме 42 461,88 тыс. рублей, в том числе условно утвержденные расходы в сумме  1 833,15 тыс. рублей;</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нормативную величину резервного фонда администрации</w:t>
      </w:r>
      <w:r w:rsidRPr="00E72716">
        <w:rPr>
          <w:rFonts w:ascii="Times New Roman" w:hAnsi="Times New Roman"/>
          <w:b/>
          <w:sz w:val="23"/>
          <w:szCs w:val="23"/>
        </w:rPr>
        <w:t xml:space="preserve"> </w:t>
      </w:r>
      <w:r w:rsidRPr="00E72716">
        <w:rPr>
          <w:rFonts w:ascii="Times New Roman" w:hAnsi="Times New Roman"/>
          <w:sz w:val="23"/>
          <w:szCs w:val="23"/>
        </w:rPr>
        <w:t xml:space="preserve">СП деревня Верховье на 2025 в сумме 50,0 тыс. рублей и на 2026 в сумме 50,0 тыс. </w:t>
      </w:r>
      <w:proofErr w:type="gramStart"/>
      <w:r w:rsidRPr="00E72716">
        <w:rPr>
          <w:rFonts w:ascii="Times New Roman" w:hAnsi="Times New Roman"/>
          <w:sz w:val="23"/>
          <w:szCs w:val="23"/>
        </w:rPr>
        <w:t>рублей ;</w:t>
      </w:r>
      <w:proofErr w:type="gramEnd"/>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 xml:space="preserve">верхний </w:t>
      </w:r>
      <w:proofErr w:type="gramStart"/>
      <w:r w:rsidRPr="00E72716">
        <w:rPr>
          <w:rFonts w:ascii="Times New Roman" w:hAnsi="Times New Roman"/>
          <w:sz w:val="23"/>
          <w:szCs w:val="23"/>
        </w:rPr>
        <w:t>предел  муниципального</w:t>
      </w:r>
      <w:proofErr w:type="gramEnd"/>
      <w:r w:rsidRPr="00E72716">
        <w:rPr>
          <w:rFonts w:ascii="Times New Roman" w:hAnsi="Times New Roman"/>
          <w:sz w:val="23"/>
          <w:szCs w:val="23"/>
        </w:rPr>
        <w:t xml:space="preserve"> долга на 1 января 2026 года в сумме 0 тыс. руб., в том числе верхний предел долга по муниципальным гарантиям 0 тыс. рублей.</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 xml:space="preserve">верхний </w:t>
      </w:r>
      <w:proofErr w:type="gramStart"/>
      <w:r w:rsidRPr="00E72716">
        <w:rPr>
          <w:rFonts w:ascii="Times New Roman" w:hAnsi="Times New Roman"/>
          <w:sz w:val="23"/>
          <w:szCs w:val="23"/>
        </w:rPr>
        <w:t>предел  муниципального</w:t>
      </w:r>
      <w:proofErr w:type="gramEnd"/>
      <w:r w:rsidRPr="00E72716">
        <w:rPr>
          <w:rFonts w:ascii="Times New Roman" w:hAnsi="Times New Roman"/>
          <w:sz w:val="23"/>
          <w:szCs w:val="23"/>
        </w:rPr>
        <w:t xml:space="preserve"> долга на 1 января 2027 года в сумме 0 тыс. руб., в том числе верхний предел долга по муниципальным гарантиям 0 тыс. рублей.</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 xml:space="preserve">Дефицит </w:t>
      </w:r>
      <w:proofErr w:type="gramStart"/>
      <w:r w:rsidRPr="00E72716">
        <w:rPr>
          <w:rFonts w:ascii="Times New Roman" w:hAnsi="Times New Roman"/>
          <w:sz w:val="23"/>
          <w:szCs w:val="23"/>
        </w:rPr>
        <w:t>( профицит</w:t>
      </w:r>
      <w:proofErr w:type="gramEnd"/>
      <w:r w:rsidRPr="00E72716">
        <w:rPr>
          <w:rFonts w:ascii="Times New Roman" w:hAnsi="Times New Roman"/>
          <w:sz w:val="23"/>
          <w:szCs w:val="23"/>
        </w:rPr>
        <w:t xml:space="preserve"> ) местного бюджета в 2025 – 2026 годах отсутствует.</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 xml:space="preserve"> 2. Нормативы распределения доходов между бюджетами бюджетной системы Российской Федерации на 2024 год и на плановый период 2025 и 2026 </w:t>
      </w:r>
      <w:proofErr w:type="gramStart"/>
      <w:r w:rsidRPr="00E72716">
        <w:rPr>
          <w:rFonts w:ascii="Times New Roman" w:hAnsi="Times New Roman"/>
          <w:sz w:val="23"/>
          <w:szCs w:val="23"/>
        </w:rPr>
        <w:t>годов .</w:t>
      </w:r>
      <w:proofErr w:type="gramEnd"/>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lastRenderedPageBreak/>
        <w:t xml:space="preserve">2.1. Утвердить нормативы распределения доходов, не установленных законодательством Российской Федерации на 2024 год и на плановый период 2025 и 2026 </w:t>
      </w:r>
      <w:proofErr w:type="gramStart"/>
      <w:r w:rsidRPr="00E72716">
        <w:rPr>
          <w:rFonts w:ascii="Times New Roman" w:hAnsi="Times New Roman"/>
          <w:sz w:val="23"/>
          <w:szCs w:val="23"/>
        </w:rPr>
        <w:t>годов,  согласно</w:t>
      </w:r>
      <w:proofErr w:type="gramEnd"/>
      <w:r w:rsidRPr="00E72716">
        <w:rPr>
          <w:rFonts w:ascii="Times New Roman" w:hAnsi="Times New Roman"/>
          <w:sz w:val="23"/>
          <w:szCs w:val="23"/>
        </w:rPr>
        <w:t xml:space="preserve"> приложению № 1 к настоящему Решению.</w:t>
      </w:r>
    </w:p>
    <w:p w:rsidR="00E72716" w:rsidRPr="00E72716" w:rsidRDefault="00E72716" w:rsidP="00E72716">
      <w:pPr>
        <w:tabs>
          <w:tab w:val="left" w:pos="1134"/>
        </w:tabs>
        <w:spacing w:after="0"/>
        <w:ind w:firstLine="709"/>
        <w:jc w:val="both"/>
        <w:rPr>
          <w:rFonts w:ascii="Times New Roman" w:hAnsi="Times New Roman"/>
          <w:sz w:val="23"/>
          <w:szCs w:val="23"/>
        </w:rPr>
      </w:pPr>
      <w:r w:rsidRPr="00E72716">
        <w:rPr>
          <w:rFonts w:ascii="Times New Roman" w:hAnsi="Times New Roman"/>
          <w:sz w:val="23"/>
          <w:szCs w:val="23"/>
        </w:rPr>
        <w:t>3.Доходы местного бюджета на 2024 год и на плановый период 2025 и 2026 годов</w:t>
      </w:r>
    </w:p>
    <w:p w:rsidR="00E72716" w:rsidRPr="00E72716" w:rsidRDefault="00E72716" w:rsidP="00E72716">
      <w:pPr>
        <w:tabs>
          <w:tab w:val="left" w:pos="1134"/>
        </w:tabs>
        <w:spacing w:after="0"/>
        <w:jc w:val="both"/>
        <w:rPr>
          <w:rFonts w:ascii="Times New Roman" w:hAnsi="Times New Roman"/>
          <w:sz w:val="23"/>
          <w:szCs w:val="23"/>
        </w:rPr>
      </w:pPr>
      <w:r w:rsidRPr="00E72716">
        <w:rPr>
          <w:rFonts w:ascii="Times New Roman" w:hAnsi="Times New Roman"/>
          <w:sz w:val="23"/>
          <w:szCs w:val="23"/>
        </w:rPr>
        <w:t xml:space="preserve">            3.1. Утвердить поступления доходов местного бюджета по кодам классификации доходов бюджетов бюджетной системы Российской Федерации:</w:t>
      </w:r>
    </w:p>
    <w:p w:rsidR="00E72716" w:rsidRPr="00E72716" w:rsidRDefault="00E72716" w:rsidP="00E72716">
      <w:pPr>
        <w:tabs>
          <w:tab w:val="left" w:pos="1134"/>
        </w:tabs>
        <w:spacing w:after="0"/>
        <w:jc w:val="both"/>
        <w:rPr>
          <w:rFonts w:ascii="Times New Roman" w:hAnsi="Times New Roman"/>
          <w:sz w:val="23"/>
          <w:szCs w:val="23"/>
        </w:rPr>
      </w:pPr>
      <w:r w:rsidRPr="00E72716">
        <w:rPr>
          <w:rFonts w:ascii="Times New Roman" w:hAnsi="Times New Roman"/>
          <w:sz w:val="23"/>
          <w:szCs w:val="23"/>
        </w:rPr>
        <w:t>– на 2024 год согласно приложению № 2 к настоящему Решению.</w:t>
      </w:r>
    </w:p>
    <w:p w:rsidR="00E72716" w:rsidRPr="00E72716" w:rsidRDefault="00E72716" w:rsidP="00E72716">
      <w:pPr>
        <w:tabs>
          <w:tab w:val="left" w:pos="1134"/>
        </w:tabs>
        <w:spacing w:after="0"/>
        <w:jc w:val="both"/>
        <w:rPr>
          <w:rFonts w:ascii="Times New Roman" w:hAnsi="Times New Roman"/>
          <w:sz w:val="23"/>
          <w:szCs w:val="23"/>
        </w:rPr>
      </w:pPr>
      <w:r w:rsidRPr="00E72716">
        <w:rPr>
          <w:rFonts w:ascii="Times New Roman" w:hAnsi="Times New Roman"/>
          <w:sz w:val="23"/>
          <w:szCs w:val="23"/>
        </w:rPr>
        <w:t>– на плановый период 2025 и 2026 годов согласно приложению № 3 к настоящему Решению.</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3.2. Учесть в доходах местного бюджета объемы межбюджетных трансфертов, предоставляемых из других бюджетов бюджетной системы Российской Федерации на 2024 год согласно приложению № 4 к настоящему Решению и на плановый период 2025 и 2026 годов, согласно приложению № 5 к настоящему Решению.</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4. Бюджетные ассигнования местного бюджета на 2024 год и на плановый период 2025 и 2026 годов.</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4.1. Утвердить ведомственную структуру расходов местного бюджета:</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на 2024 год – согласно приложению № 6 к настоящему Решению;</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на 2025-2026 годы – согласно приложению № 7 к настоящему Решению.</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4.2. Утвердить в составе ведомственной структуры расходов местного бюджета перечень главных распорядителей средств местного бюджета, разделов, подразделов, целевых статей (муниципальных программ и непрограммных направлений деятельности), групп и подгрупп видов расходов местного бюджета на 2024 год и на плановый период 2025 и 2026 годов согласно приложениям № 6 и 7 к настоящему Решению.</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4.3. Утвердить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на 2024 год – согласно приложению № 8 к настоящему Решению;</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на плановый период 2025 и 2026 годов – согласно приложению № 9 к настоящему Решению.</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4.4. Утвердить распределение бюджетных ассигнований местного бюджета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на 2024 год – согласно приложению № 10 к настоящему Решению;</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на плановый период 2025 и 2026 годов – согласно приложению № 11 к настоящему Решению.</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4.5. Учесть в расходах местного бюджета объемы межбюджетных трансфертов из бюджета поселения районному бюджету на 2024 год и на плановый период 2025 и 2026 годов согласно приложению № 12 к настоящему Решению.</w:t>
      </w:r>
    </w:p>
    <w:p w:rsidR="00E72716" w:rsidRPr="00E72716" w:rsidRDefault="00E72716" w:rsidP="00E72716">
      <w:pPr>
        <w:spacing w:after="0"/>
        <w:ind w:firstLine="708"/>
        <w:jc w:val="both"/>
        <w:rPr>
          <w:rFonts w:ascii="Times New Roman" w:hAnsi="Times New Roman"/>
          <w:color w:val="000000"/>
          <w:sz w:val="23"/>
          <w:szCs w:val="23"/>
        </w:rPr>
      </w:pPr>
      <w:r w:rsidRPr="00E72716">
        <w:rPr>
          <w:rFonts w:ascii="Times New Roman" w:hAnsi="Times New Roman"/>
          <w:color w:val="000000"/>
          <w:sz w:val="23"/>
          <w:szCs w:val="23"/>
        </w:rPr>
        <w:t xml:space="preserve">5. Особенности использования бюджетных ассигнований по обеспечению деятельности органов местного самоуправления сельским поселением </w:t>
      </w:r>
      <w:r w:rsidRPr="00E72716">
        <w:rPr>
          <w:rFonts w:ascii="Times New Roman" w:hAnsi="Times New Roman"/>
          <w:sz w:val="23"/>
          <w:szCs w:val="23"/>
        </w:rPr>
        <w:t>деревня Верховье</w:t>
      </w:r>
      <w:r w:rsidRPr="00E72716">
        <w:rPr>
          <w:rFonts w:ascii="Times New Roman" w:hAnsi="Times New Roman"/>
          <w:color w:val="000000"/>
          <w:sz w:val="23"/>
          <w:szCs w:val="23"/>
        </w:rPr>
        <w:t>.</w:t>
      </w:r>
    </w:p>
    <w:p w:rsidR="00E72716" w:rsidRPr="00E72716" w:rsidRDefault="00E72716" w:rsidP="00E72716">
      <w:pPr>
        <w:spacing w:after="0"/>
        <w:ind w:firstLine="709"/>
        <w:jc w:val="both"/>
        <w:rPr>
          <w:rFonts w:ascii="Times New Roman" w:hAnsi="Times New Roman"/>
          <w:sz w:val="23"/>
          <w:szCs w:val="23"/>
        </w:rPr>
      </w:pPr>
      <w:r w:rsidRPr="00E72716">
        <w:rPr>
          <w:rFonts w:ascii="Times New Roman" w:hAnsi="Times New Roman"/>
          <w:color w:val="000000"/>
          <w:sz w:val="23"/>
          <w:szCs w:val="23"/>
        </w:rPr>
        <w:t>5.</w:t>
      </w:r>
      <w:r w:rsidRPr="00E72716">
        <w:rPr>
          <w:rFonts w:ascii="Times New Roman" w:hAnsi="Times New Roman"/>
          <w:sz w:val="23"/>
          <w:szCs w:val="23"/>
        </w:rPr>
        <w:t>1. Установить с 1 января 2024 года уровень индексации окладов, базовых окладов, должностных окладов по оплате труда работников органов местного самоуправления, замещающих должности, не являющиеся должностями муниципальной службы, работников, осуществляющих профессиональную деятельность по должностям служащих и по профессиям рабочих, сложившихся на 1 января 2024 года, в размере 4,5 процента.</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 xml:space="preserve">6.  Бюджетные ассигнований на исполнение публичных нормативных обязательств на 2024 год и на плановый период 2025 </w:t>
      </w:r>
      <w:proofErr w:type="gramStart"/>
      <w:r w:rsidRPr="00E72716">
        <w:rPr>
          <w:rFonts w:ascii="Times New Roman" w:hAnsi="Times New Roman"/>
          <w:sz w:val="23"/>
          <w:szCs w:val="23"/>
        </w:rPr>
        <w:t>и  2026</w:t>
      </w:r>
      <w:proofErr w:type="gramEnd"/>
      <w:r w:rsidRPr="00E72716">
        <w:rPr>
          <w:rFonts w:ascii="Times New Roman" w:hAnsi="Times New Roman"/>
          <w:sz w:val="23"/>
          <w:szCs w:val="23"/>
        </w:rPr>
        <w:t xml:space="preserve"> годы в бюджете не предусмотрены.</w:t>
      </w:r>
    </w:p>
    <w:p w:rsidR="00E72716" w:rsidRPr="00E72716" w:rsidRDefault="00E72716" w:rsidP="00E72716">
      <w:pPr>
        <w:spacing w:after="0"/>
        <w:jc w:val="both"/>
        <w:rPr>
          <w:rFonts w:ascii="Times New Roman" w:hAnsi="Times New Roman"/>
          <w:color w:val="000000"/>
          <w:sz w:val="23"/>
          <w:szCs w:val="23"/>
        </w:rPr>
      </w:pPr>
      <w:r w:rsidRPr="00E72716">
        <w:rPr>
          <w:rFonts w:ascii="Times New Roman" w:hAnsi="Times New Roman"/>
          <w:sz w:val="23"/>
          <w:szCs w:val="23"/>
        </w:rPr>
        <w:t xml:space="preserve">            7</w:t>
      </w:r>
      <w:r w:rsidRPr="00E72716">
        <w:rPr>
          <w:rFonts w:ascii="Times New Roman" w:hAnsi="Times New Roman"/>
          <w:color w:val="000000"/>
          <w:sz w:val="23"/>
          <w:szCs w:val="23"/>
        </w:rPr>
        <w:t xml:space="preserve">. Муниципальные внутренние заимствования сельским поселением деревня Верховье в 2024 </w:t>
      </w:r>
      <w:proofErr w:type="gramStart"/>
      <w:r w:rsidRPr="00E72716">
        <w:rPr>
          <w:rFonts w:ascii="Times New Roman" w:hAnsi="Times New Roman"/>
          <w:color w:val="000000"/>
          <w:sz w:val="23"/>
          <w:szCs w:val="23"/>
        </w:rPr>
        <w:t>году  и</w:t>
      </w:r>
      <w:proofErr w:type="gramEnd"/>
      <w:r w:rsidRPr="00E72716">
        <w:rPr>
          <w:rFonts w:ascii="Times New Roman" w:hAnsi="Times New Roman"/>
          <w:color w:val="000000"/>
          <w:sz w:val="23"/>
          <w:szCs w:val="23"/>
        </w:rPr>
        <w:t xml:space="preserve"> на плановый период 2025 и 2026 годов не планируются. </w:t>
      </w:r>
    </w:p>
    <w:p w:rsidR="00E72716" w:rsidRPr="00E72716" w:rsidRDefault="00E72716" w:rsidP="00E72716">
      <w:pPr>
        <w:spacing w:after="0"/>
        <w:ind w:firstLine="708"/>
        <w:jc w:val="both"/>
        <w:rPr>
          <w:rFonts w:ascii="Times New Roman" w:hAnsi="Times New Roman"/>
          <w:color w:val="000000"/>
          <w:sz w:val="23"/>
          <w:szCs w:val="23"/>
        </w:rPr>
      </w:pPr>
      <w:r w:rsidRPr="00E72716">
        <w:rPr>
          <w:rFonts w:ascii="Times New Roman" w:hAnsi="Times New Roman"/>
          <w:color w:val="000000"/>
          <w:sz w:val="23"/>
          <w:szCs w:val="23"/>
        </w:rPr>
        <w:t>8. Предоставление муниципальных гарантий сельским поселением деревня Верховье в 2024 году и на плановый период 2025 и 2026 годов не планируется.</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9. Особенности исполнения местного бюджета.</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Установить, что в ходе исполнения местного бюджета администрация вправе вносить изменения в сводную бюджетную роспись, оформлять соответствующие уведомления:</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 в случае изменения типа и организационно-правовой формы муниципальных учреждений, подведомственных органам исполнительной власти муниципального образования, либо передачи отдельных муниципальных услуг (функций) предоставляемых (выполняемых) этими учреждениями на аутсорсинг и другие формы;</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 в случае необходимости уточнения кодов бюджетной классификации расходов местного бюджета в текущем финансовом году;</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 в случае принятия муниципальных программ поселения, аккумулирующих на реализацию программных мероприятий средства местного бюджета, предусмотренные настоящим Решением, а также внесения изменений и дополнений в данные программы;</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-в части перераспределения бюджетных ассигнований в рамках реализации муниципальных целевых программ, а также других централизованных мероприятий между исполнителями этих мероприятий и по кодам бюджетной классификации расходов бюджетов Российской Федерации;</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 в части увеличения бюджетных ассигнований на сумму средств, поступающих в доходы местного бюджета от юридических и физических лиц на оказание помощи гражданам, гуманитарной помощи территориям, пострадавшим в результате стихийных бедствий и других чрезвычайных ситуаций, на проведение благотворительных акций, иных социально-значимых мероприятий и целевых спонсорских средств, а также и иных нормативных правовых актов, в том числе поступивших сверх сумм, учтенных настоящим Решением;</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 xml:space="preserve">- в части увеличения бюджетных ассигнований на сумму средств, необходимых для выполнения условий софинансирования по федеральным и </w:t>
      </w:r>
      <w:proofErr w:type="gramStart"/>
      <w:r w:rsidRPr="00E72716">
        <w:rPr>
          <w:rFonts w:ascii="Times New Roman" w:hAnsi="Times New Roman"/>
          <w:sz w:val="23"/>
          <w:szCs w:val="23"/>
        </w:rPr>
        <w:t>областным целевым программам</w:t>
      </w:r>
      <w:proofErr w:type="gramEnd"/>
      <w:r w:rsidRPr="00E72716">
        <w:rPr>
          <w:rFonts w:ascii="Times New Roman" w:hAnsi="Times New Roman"/>
          <w:sz w:val="23"/>
          <w:szCs w:val="23"/>
        </w:rPr>
        <w:t xml:space="preserve"> и предоставляемым местному бюджету из федерального и областного бюджетов, в том числе путем введения новых кодов бюджетной классификации расходов местного бюджета в случае необходимости выполнения условий софинансирования по государственным программам Российской Федерации и Калужской области и межбюджетным субсидиям;</w:t>
      </w:r>
    </w:p>
    <w:p w:rsidR="00E72716" w:rsidRPr="00E72716" w:rsidRDefault="00E72716" w:rsidP="00E72716">
      <w:pPr>
        <w:spacing w:after="0"/>
        <w:ind w:firstLine="708"/>
        <w:jc w:val="both"/>
        <w:rPr>
          <w:rFonts w:ascii="Times New Roman" w:hAnsi="Times New Roman"/>
          <w:sz w:val="23"/>
          <w:szCs w:val="23"/>
        </w:rPr>
      </w:pPr>
      <w:r w:rsidRPr="00E72716">
        <w:rPr>
          <w:rFonts w:ascii="Times New Roman" w:hAnsi="Times New Roman"/>
          <w:sz w:val="23"/>
          <w:szCs w:val="23"/>
        </w:rPr>
        <w:t>-в других случаях, предусмотренных особенностями исполнения местного бюджета, установленных настоящим Решением и Бюджетным кодексом Российской Федерации.</w:t>
      </w:r>
    </w:p>
    <w:p w:rsidR="00E72716" w:rsidRPr="00E72716" w:rsidRDefault="00E72716" w:rsidP="00E72716">
      <w:pPr>
        <w:spacing w:after="0"/>
        <w:jc w:val="both"/>
        <w:rPr>
          <w:rFonts w:ascii="Times New Roman" w:hAnsi="Times New Roman"/>
          <w:sz w:val="23"/>
          <w:szCs w:val="23"/>
        </w:rPr>
      </w:pPr>
      <w:r w:rsidRPr="00E72716">
        <w:rPr>
          <w:rFonts w:ascii="Times New Roman" w:hAnsi="Times New Roman"/>
          <w:sz w:val="23"/>
          <w:szCs w:val="23"/>
        </w:rPr>
        <w:t xml:space="preserve">            10. Настоящее Решение вступает в силу с 1 января 2024 года.</w:t>
      </w:r>
    </w:p>
    <w:p w:rsidR="00E72716" w:rsidRPr="00E72716" w:rsidRDefault="00E72716" w:rsidP="00E72716">
      <w:pPr>
        <w:spacing w:after="0"/>
        <w:jc w:val="both"/>
        <w:rPr>
          <w:rFonts w:ascii="Times New Roman" w:hAnsi="Times New Roman"/>
          <w:b/>
          <w:bCs/>
          <w:i/>
          <w:sz w:val="23"/>
          <w:szCs w:val="23"/>
        </w:rPr>
      </w:pPr>
      <w:r w:rsidRPr="00E72716">
        <w:rPr>
          <w:rFonts w:ascii="Times New Roman" w:hAnsi="Times New Roman"/>
          <w:b/>
          <w:bCs/>
          <w:i/>
          <w:sz w:val="23"/>
          <w:szCs w:val="23"/>
        </w:rPr>
        <w:tab/>
      </w:r>
      <w:r w:rsidRPr="00E72716">
        <w:rPr>
          <w:rFonts w:ascii="Times New Roman" w:hAnsi="Times New Roman"/>
          <w:b/>
          <w:bCs/>
          <w:i/>
          <w:sz w:val="23"/>
          <w:szCs w:val="23"/>
        </w:rPr>
        <w:tab/>
      </w:r>
      <w:r w:rsidRPr="00E72716">
        <w:rPr>
          <w:rFonts w:ascii="Times New Roman" w:hAnsi="Times New Roman"/>
          <w:b/>
          <w:bCs/>
          <w:i/>
          <w:sz w:val="23"/>
          <w:szCs w:val="23"/>
        </w:rPr>
        <w:tab/>
      </w:r>
      <w:r w:rsidRPr="00E72716">
        <w:rPr>
          <w:rFonts w:ascii="Times New Roman" w:hAnsi="Times New Roman"/>
          <w:b/>
          <w:bCs/>
          <w:i/>
          <w:sz w:val="23"/>
          <w:szCs w:val="23"/>
        </w:rPr>
        <w:tab/>
      </w:r>
      <w:r w:rsidRPr="00E72716">
        <w:rPr>
          <w:rFonts w:ascii="Times New Roman" w:hAnsi="Times New Roman"/>
          <w:b/>
          <w:bCs/>
          <w:i/>
          <w:sz w:val="23"/>
          <w:szCs w:val="23"/>
        </w:rPr>
        <w:tab/>
      </w:r>
    </w:p>
    <w:p w:rsidR="00E72716" w:rsidRDefault="00E72716" w:rsidP="00E72716">
      <w:pPr>
        <w:ind w:firstLine="708"/>
        <w:jc w:val="both"/>
        <w:rPr>
          <w:b/>
          <w:bCs/>
          <w:i/>
          <w:sz w:val="24"/>
        </w:rPr>
      </w:pPr>
    </w:p>
    <w:p w:rsidR="00085B9E" w:rsidRPr="00085B9E" w:rsidRDefault="00085B9E" w:rsidP="00E72716">
      <w:pPr>
        <w:spacing w:after="0" w:line="240" w:lineRule="auto"/>
        <w:jc w:val="both"/>
        <w:rPr>
          <w:rFonts w:ascii="Times New Roman" w:hAnsi="Times New Roman"/>
          <w:sz w:val="24"/>
          <w:szCs w:val="20"/>
          <w:lang w:eastAsia="ru-RU"/>
        </w:rPr>
      </w:pPr>
      <w:r w:rsidRPr="00085B9E">
        <w:rPr>
          <w:rFonts w:ascii="Times New Roman" w:hAnsi="Times New Roman"/>
          <w:sz w:val="24"/>
          <w:szCs w:val="20"/>
          <w:lang w:eastAsia="ru-RU"/>
        </w:rPr>
        <w:tab/>
      </w:r>
    </w:p>
    <w:p w:rsidR="00085B9E" w:rsidRPr="00085B9E" w:rsidRDefault="00085B9E" w:rsidP="00085B9E">
      <w:pPr>
        <w:spacing w:after="0" w:line="240" w:lineRule="auto"/>
        <w:jc w:val="both"/>
        <w:rPr>
          <w:rFonts w:ascii="Times New Roman" w:hAnsi="Times New Roman"/>
          <w:b/>
          <w:bCs/>
          <w:i/>
          <w:sz w:val="24"/>
          <w:szCs w:val="20"/>
          <w:lang w:eastAsia="ru-RU"/>
        </w:rPr>
      </w:pPr>
      <w:r w:rsidRPr="00085B9E">
        <w:rPr>
          <w:rFonts w:ascii="Times New Roman" w:hAnsi="Times New Roman"/>
          <w:sz w:val="24"/>
          <w:szCs w:val="20"/>
          <w:lang w:eastAsia="ru-RU"/>
        </w:rPr>
        <w:tab/>
      </w:r>
      <w:r w:rsidRPr="00085B9E">
        <w:rPr>
          <w:rFonts w:ascii="Times New Roman" w:hAnsi="Times New Roman"/>
          <w:b/>
          <w:bCs/>
          <w:i/>
          <w:sz w:val="24"/>
          <w:szCs w:val="20"/>
          <w:lang w:eastAsia="ru-RU"/>
        </w:rPr>
        <w:t>Глава сельского поселения</w:t>
      </w:r>
    </w:p>
    <w:p w:rsidR="00085B9E" w:rsidRPr="00085B9E" w:rsidRDefault="00085B9E" w:rsidP="00085B9E">
      <w:pPr>
        <w:spacing w:after="0" w:line="240" w:lineRule="auto"/>
        <w:ind w:firstLine="720"/>
        <w:jc w:val="both"/>
        <w:rPr>
          <w:rFonts w:ascii="Times New Roman" w:hAnsi="Times New Roman"/>
          <w:b/>
          <w:bCs/>
          <w:sz w:val="24"/>
          <w:szCs w:val="20"/>
          <w:lang w:eastAsia="ru-RU"/>
        </w:rPr>
      </w:pPr>
      <w:r w:rsidRPr="00085B9E">
        <w:rPr>
          <w:rFonts w:ascii="Times New Roman" w:hAnsi="Times New Roman"/>
          <w:b/>
          <w:bCs/>
          <w:i/>
          <w:sz w:val="24"/>
          <w:szCs w:val="20"/>
          <w:lang w:eastAsia="ru-RU"/>
        </w:rPr>
        <w:t>деревня Верховье</w:t>
      </w:r>
      <w:r w:rsidRPr="00085B9E">
        <w:rPr>
          <w:rFonts w:ascii="Times New Roman" w:hAnsi="Times New Roman"/>
          <w:b/>
          <w:bCs/>
          <w:i/>
          <w:sz w:val="24"/>
          <w:szCs w:val="20"/>
          <w:lang w:eastAsia="ru-RU"/>
        </w:rPr>
        <w:tab/>
      </w:r>
      <w:r w:rsidRPr="00085B9E">
        <w:rPr>
          <w:rFonts w:ascii="Times New Roman" w:hAnsi="Times New Roman"/>
          <w:b/>
          <w:bCs/>
          <w:i/>
          <w:sz w:val="24"/>
          <w:szCs w:val="20"/>
          <w:lang w:eastAsia="ru-RU"/>
        </w:rPr>
        <w:tab/>
      </w:r>
      <w:r w:rsidRPr="00085B9E">
        <w:rPr>
          <w:rFonts w:ascii="Times New Roman" w:hAnsi="Times New Roman"/>
          <w:b/>
          <w:bCs/>
          <w:i/>
          <w:sz w:val="24"/>
          <w:szCs w:val="20"/>
          <w:lang w:eastAsia="ru-RU"/>
        </w:rPr>
        <w:tab/>
      </w:r>
      <w:r w:rsidRPr="00085B9E">
        <w:rPr>
          <w:rFonts w:ascii="Times New Roman" w:hAnsi="Times New Roman"/>
          <w:b/>
          <w:bCs/>
          <w:i/>
          <w:sz w:val="24"/>
          <w:szCs w:val="20"/>
          <w:lang w:eastAsia="ru-RU"/>
        </w:rPr>
        <w:tab/>
      </w:r>
      <w:r w:rsidRPr="00085B9E">
        <w:rPr>
          <w:rFonts w:ascii="Times New Roman" w:hAnsi="Times New Roman"/>
          <w:b/>
          <w:bCs/>
          <w:i/>
          <w:sz w:val="24"/>
          <w:szCs w:val="20"/>
          <w:lang w:eastAsia="ru-RU"/>
        </w:rPr>
        <w:tab/>
      </w:r>
      <w:r w:rsidRPr="00085B9E">
        <w:rPr>
          <w:rFonts w:ascii="Times New Roman" w:hAnsi="Times New Roman"/>
          <w:b/>
          <w:bCs/>
          <w:i/>
          <w:sz w:val="24"/>
          <w:szCs w:val="20"/>
          <w:lang w:eastAsia="ru-RU"/>
        </w:rPr>
        <w:tab/>
        <w:t>Ротастикова О. И.</w:t>
      </w:r>
    </w:p>
    <w:p w:rsidR="00085B9E" w:rsidRDefault="00085B9E">
      <w:pPr>
        <w:rPr>
          <w:rFonts w:ascii="Times New Roman" w:hAnsi="Times New Roman"/>
          <w:sz w:val="24"/>
          <w:szCs w:val="24"/>
        </w:rPr>
      </w:pPr>
    </w:p>
    <w:p w:rsidR="00437013" w:rsidRDefault="00437013">
      <w:pPr>
        <w:rPr>
          <w:rFonts w:ascii="Times New Roman" w:hAnsi="Times New Roman"/>
          <w:sz w:val="24"/>
          <w:szCs w:val="24"/>
        </w:rPr>
      </w:pPr>
      <w:bookmarkStart w:id="0" w:name="_GoBack"/>
      <w:bookmarkEnd w:id="0"/>
    </w:p>
    <w:p w:rsidR="00E72716" w:rsidRDefault="00E72716">
      <w:pPr>
        <w:rPr>
          <w:rFonts w:ascii="Times New Roman" w:hAnsi="Times New Roman"/>
          <w:sz w:val="24"/>
          <w:szCs w:val="24"/>
        </w:rPr>
      </w:pPr>
    </w:p>
    <w:p w:rsidR="00E72716" w:rsidRDefault="00E72716">
      <w:pPr>
        <w:rPr>
          <w:rFonts w:ascii="Times New Roman" w:hAnsi="Times New Roman"/>
          <w:sz w:val="24"/>
          <w:szCs w:val="24"/>
        </w:rPr>
      </w:pPr>
    </w:p>
    <w:p w:rsidR="00437013" w:rsidRDefault="00437013">
      <w:pPr>
        <w:rPr>
          <w:rFonts w:ascii="Times New Roman" w:hAnsi="Times New Roman"/>
          <w:sz w:val="24"/>
          <w:szCs w:val="24"/>
        </w:rPr>
      </w:pPr>
    </w:p>
    <w:p w:rsidR="00437013" w:rsidRPr="00437013" w:rsidRDefault="00437013" w:rsidP="00437013">
      <w:pPr>
        <w:spacing w:after="0" w:line="240" w:lineRule="auto"/>
        <w:jc w:val="both"/>
        <w:rPr>
          <w:rFonts w:ascii="Times New Roman" w:hAnsi="Times New Roman"/>
          <w:b/>
          <w:bCs/>
          <w:i/>
          <w:sz w:val="24"/>
          <w:szCs w:val="20"/>
          <w:lang w:eastAsia="ru-RU"/>
        </w:rPr>
      </w:pPr>
      <w:r w:rsidRPr="00437013">
        <w:rPr>
          <w:rFonts w:ascii="Times New Roman" w:hAnsi="Times New Roman"/>
          <w:b/>
          <w:bCs/>
          <w:i/>
          <w:sz w:val="24"/>
          <w:szCs w:val="20"/>
          <w:lang w:eastAsia="ru-RU"/>
        </w:rPr>
        <w:t>Настоящее Решение Сельской Думы МО СП «Деревня Верховье» с приложениями размещен на сайте администрации СП «Деревня Верховье»</w:t>
      </w:r>
      <w:r w:rsidRPr="00437013">
        <w:rPr>
          <w:rFonts w:ascii="Times New Roman" w:hAnsi="Times New Roman"/>
          <w:sz w:val="20"/>
          <w:szCs w:val="20"/>
          <w:lang w:eastAsia="ru-RU"/>
        </w:rPr>
        <w:t xml:space="preserve"> </w:t>
      </w:r>
      <w:hyperlink r:id="rId5" w:history="1">
        <w:r w:rsidRPr="00437013">
          <w:rPr>
            <w:rFonts w:ascii="Times New Roman" w:hAnsi="Times New Roman"/>
            <w:b/>
            <w:bCs/>
            <w:i/>
            <w:color w:val="0563C1"/>
            <w:sz w:val="24"/>
            <w:szCs w:val="20"/>
            <w:u w:val="single"/>
            <w:lang w:eastAsia="ru-RU"/>
          </w:rPr>
          <w:t>https://verchovie.ru</w:t>
        </w:r>
      </w:hyperlink>
      <w:r w:rsidRPr="00437013">
        <w:rPr>
          <w:rFonts w:ascii="Times New Roman" w:hAnsi="Times New Roman"/>
          <w:b/>
          <w:bCs/>
          <w:i/>
          <w:sz w:val="24"/>
          <w:szCs w:val="20"/>
          <w:lang w:eastAsia="ru-RU"/>
        </w:rPr>
        <w:t xml:space="preserve"> в разделе официальные документы</w:t>
      </w:r>
    </w:p>
    <w:p w:rsidR="00D0504B" w:rsidRDefault="00D0504B" w:rsidP="00D0504B">
      <w:pPr>
        <w:jc w:val="both"/>
        <w:rPr>
          <w:b/>
          <w:bCs/>
          <w:i/>
          <w:sz w:val="24"/>
        </w:rPr>
      </w:pPr>
    </w:p>
    <w:p w:rsidR="00085B9E" w:rsidRPr="005F0DFC" w:rsidRDefault="00085B9E">
      <w:pPr>
        <w:rPr>
          <w:rFonts w:ascii="Times New Roman" w:hAnsi="Times New Roman"/>
          <w:sz w:val="24"/>
          <w:szCs w:val="24"/>
        </w:rPr>
      </w:pPr>
    </w:p>
    <w:sectPr w:rsidR="00085B9E" w:rsidRPr="005F0DFC" w:rsidSect="00E72716">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FC"/>
    <w:rsid w:val="00024C7B"/>
    <w:rsid w:val="00085B9E"/>
    <w:rsid w:val="00141DA5"/>
    <w:rsid w:val="00280775"/>
    <w:rsid w:val="003A688C"/>
    <w:rsid w:val="003C1A4F"/>
    <w:rsid w:val="00435472"/>
    <w:rsid w:val="00437013"/>
    <w:rsid w:val="005823BC"/>
    <w:rsid w:val="00585FDE"/>
    <w:rsid w:val="005F0DFC"/>
    <w:rsid w:val="006B76B7"/>
    <w:rsid w:val="006F63B6"/>
    <w:rsid w:val="00735226"/>
    <w:rsid w:val="0084455A"/>
    <w:rsid w:val="00914C3B"/>
    <w:rsid w:val="00A858AF"/>
    <w:rsid w:val="00BF4A32"/>
    <w:rsid w:val="00CC2C6C"/>
    <w:rsid w:val="00D0504B"/>
    <w:rsid w:val="00D93526"/>
    <w:rsid w:val="00DC32C7"/>
    <w:rsid w:val="00E72716"/>
    <w:rsid w:val="00F32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6AB9"/>
  <w15:chartTrackingRefBased/>
  <w15:docId w15:val="{9C860250-E83E-40B3-9CDA-C06F1AE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DFC"/>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5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4455A"/>
    <w:rPr>
      <w:rFonts w:ascii="Segoe UI" w:eastAsia="Times New Roman" w:hAnsi="Segoe UI" w:cs="Segoe UI"/>
      <w:sz w:val="18"/>
      <w:szCs w:val="18"/>
    </w:rPr>
  </w:style>
  <w:style w:type="character" w:styleId="a5">
    <w:name w:val="Hyperlink"/>
    <w:semiHidden/>
    <w:unhideWhenUsed/>
    <w:rsid w:val="00D050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27913">
      <w:bodyDiv w:val="1"/>
      <w:marLeft w:val="0"/>
      <w:marRight w:val="0"/>
      <w:marTop w:val="0"/>
      <w:marBottom w:val="0"/>
      <w:divBdr>
        <w:top w:val="none" w:sz="0" w:space="0" w:color="auto"/>
        <w:left w:val="none" w:sz="0" w:space="0" w:color="auto"/>
        <w:bottom w:val="none" w:sz="0" w:space="0" w:color="auto"/>
        <w:right w:val="none" w:sz="0" w:space="0" w:color="auto"/>
      </w:divBdr>
    </w:div>
    <w:div w:id="16089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erchovie.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1266</Words>
  <Characters>7220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2023-12-13T09:32:00Z</cp:lastPrinted>
  <dcterms:created xsi:type="dcterms:W3CDTF">2023-12-05T05:24:00Z</dcterms:created>
  <dcterms:modified xsi:type="dcterms:W3CDTF">2023-12-13T09:35:00Z</dcterms:modified>
</cp:coreProperties>
</file>