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АДМИНИСТРАЦИЯ</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ЛИПЧАНСКОГО СЕЛЬСКОГО ПОСЕЛЕНИЯ</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БОГУЧАРСКОГО МУНИЦИПАЛЬНОГО РАЙОНА</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ВОРОНЕЖСКОЙ ОБЛАСТИ </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ПОСТАНОВЛЕНИЕ</w:t>
      </w:r>
    </w:p>
    <w:p w:rsidR="000203E9" w:rsidRPr="000203E9" w:rsidRDefault="000203E9" w:rsidP="000203E9">
      <w:pPr>
        <w:tabs>
          <w:tab w:val="left" w:pos="1172"/>
        </w:tabs>
        <w:spacing w:after="0" w:line="240" w:lineRule="auto"/>
        <w:ind w:firstLine="567"/>
        <w:jc w:val="center"/>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от «14» июня 2016 г. № 35</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 Липчанка</w:t>
      </w:r>
    </w:p>
    <w:p w:rsidR="000203E9" w:rsidRPr="00BE0FC7" w:rsidRDefault="000203E9" w:rsidP="00BE0FC7">
      <w:pPr>
        <w:spacing w:before="240" w:after="60" w:line="240" w:lineRule="auto"/>
        <w:ind w:right="4819"/>
        <w:jc w:val="both"/>
        <w:outlineLvl w:val="0"/>
        <w:rPr>
          <w:rFonts w:ascii="Times New Roman" w:eastAsia="Times New Roman" w:hAnsi="Times New Roman" w:cs="Times New Roman"/>
          <w:b/>
          <w:bCs/>
          <w:kern w:val="28"/>
          <w:sz w:val="24"/>
          <w:szCs w:val="24"/>
          <w:lang w:eastAsia="ru-RU"/>
        </w:rPr>
      </w:pPr>
      <w:bookmarkStart w:id="0" w:name="_GoBack"/>
      <w:r w:rsidRPr="00BE0FC7">
        <w:rPr>
          <w:rFonts w:ascii="Times New Roman" w:eastAsia="Times New Roman" w:hAnsi="Times New Roman" w:cs="Times New Roman"/>
          <w:b/>
          <w:bCs/>
          <w:kern w:val="28"/>
          <w:sz w:val="24"/>
          <w:szCs w:val="24"/>
          <w:lang w:eastAsia="ru-RU"/>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bookmarkEnd w:id="0"/>
    <w:p w:rsidR="000203E9" w:rsidRPr="000203E9" w:rsidRDefault="000203E9" w:rsidP="000203E9">
      <w:pPr>
        <w:suppressAutoHyphens/>
        <w:autoSpaceDE w:val="0"/>
        <w:spacing w:after="0" w:line="240" w:lineRule="auto"/>
        <w:jc w:val="both"/>
        <w:rPr>
          <w:rFonts w:ascii="Times New Roman" w:eastAsia="Times New Roman" w:hAnsi="Times New Roman" w:cs="Times New Roman"/>
          <w:bCs/>
          <w:sz w:val="24"/>
          <w:szCs w:val="24"/>
          <w:lang w:eastAsia="ar-SA"/>
        </w:rPr>
      </w:pPr>
    </w:p>
    <w:p w:rsidR="000203E9" w:rsidRPr="000203E9" w:rsidRDefault="000203E9" w:rsidP="000203E9">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0203E9">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w:t>
      </w:r>
    </w:p>
    <w:p w:rsidR="000203E9" w:rsidRPr="000203E9" w:rsidRDefault="000203E9" w:rsidP="000203E9">
      <w:pPr>
        <w:suppressAutoHyphens/>
        <w:autoSpaceDE w:val="0"/>
        <w:spacing w:after="0" w:line="240" w:lineRule="auto"/>
        <w:jc w:val="center"/>
        <w:rPr>
          <w:rFonts w:ascii="Times New Roman" w:eastAsia="Times New Roman" w:hAnsi="Times New Roman" w:cs="Times New Roman"/>
          <w:sz w:val="24"/>
          <w:szCs w:val="24"/>
          <w:lang w:eastAsia="ar-SA"/>
        </w:rPr>
      </w:pPr>
      <w:r w:rsidRPr="000203E9">
        <w:rPr>
          <w:rFonts w:ascii="Times New Roman" w:eastAsia="Times New Roman" w:hAnsi="Times New Roman" w:cs="Times New Roman"/>
          <w:bCs/>
          <w:sz w:val="26"/>
          <w:szCs w:val="26"/>
          <w:lang w:eastAsia="ar-SA"/>
        </w:rPr>
        <w:t>ПОСТАНОВЛЯЕТ:</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03E9">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0203E9" w:rsidRPr="000203E9" w:rsidRDefault="000203E9" w:rsidP="000203E9">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203E9" w:rsidRPr="000203E9" w:rsidRDefault="000203E9" w:rsidP="000203E9">
      <w:pPr>
        <w:spacing w:after="0" w:line="240" w:lineRule="auto"/>
        <w:ind w:firstLine="567"/>
        <w:jc w:val="both"/>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Глава Липчанского сельского поселения                                                     Е.Б.Акименко</w:t>
      </w:r>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u w:val="single"/>
          <w:lang w:eastAsia="ru-RU"/>
        </w:rPr>
        <w:br w:type="page"/>
      </w:r>
      <w:r w:rsidRPr="000203E9">
        <w:rPr>
          <w:rFonts w:ascii="Times New Roman" w:eastAsia="Times New Roman" w:hAnsi="Times New Roman" w:cs="Times New Roman"/>
          <w:sz w:val="24"/>
          <w:szCs w:val="24"/>
          <w:lang w:eastAsia="ru-RU"/>
        </w:rPr>
        <w:lastRenderedPageBreak/>
        <w:t xml:space="preserve">Приложение </w:t>
      </w:r>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постановлению администрации</w:t>
      </w:r>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Липчанского сельского поселения</w:t>
      </w:r>
    </w:p>
    <w:p w:rsidR="000203E9" w:rsidRPr="000203E9" w:rsidRDefault="000203E9" w:rsidP="000203E9">
      <w:pPr>
        <w:spacing w:after="0" w:line="240" w:lineRule="auto"/>
        <w:ind w:firstLine="567"/>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от 14.06.2016 № 35</w:t>
      </w:r>
    </w:p>
    <w:p w:rsidR="000203E9" w:rsidRPr="000203E9" w:rsidRDefault="000203E9" w:rsidP="000203E9">
      <w:pPr>
        <w:spacing w:after="0" w:line="240" w:lineRule="auto"/>
        <w:jc w:val="right"/>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Административный регламент</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предоставлению муниципальной услуги</w:t>
      </w:r>
    </w:p>
    <w:p w:rsidR="000203E9" w:rsidRPr="000203E9" w:rsidRDefault="000203E9" w:rsidP="000203E9">
      <w:pPr>
        <w:spacing w:after="0" w:line="240" w:lineRule="auto"/>
        <w:jc w:val="center"/>
        <w:rPr>
          <w:rFonts w:ascii="Times New Roman" w:eastAsia="Times New Roman" w:hAnsi="Times New Roman" w:cs="Times New Roman"/>
          <w:bCs/>
          <w:sz w:val="24"/>
          <w:szCs w:val="24"/>
          <w:lang w:eastAsia="ru-RU"/>
        </w:rPr>
      </w:pPr>
      <w:r w:rsidRPr="000203E9">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03E9" w:rsidRPr="000203E9" w:rsidRDefault="000203E9" w:rsidP="000203E9">
      <w:pPr>
        <w:spacing w:after="0" w:line="276" w:lineRule="auto"/>
        <w:jc w:val="center"/>
        <w:rPr>
          <w:rFonts w:ascii="Times New Roman" w:eastAsia="Times New Roman" w:hAnsi="Times New Roman" w:cs="Times New Roman"/>
          <w:sz w:val="24"/>
          <w:szCs w:val="24"/>
          <w:lang w:eastAsia="ru-RU"/>
        </w:rPr>
      </w:pP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Общие положения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1.1. Предмет регулирования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Липчанского сельского поселения Богучарского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1.2. Описание заявителей</w:t>
      </w:r>
    </w:p>
    <w:p w:rsidR="000203E9" w:rsidRPr="000203E9" w:rsidRDefault="000203E9" w:rsidP="000203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1.3.1. Орган, предоставляющий муниципальную услугу: администрация Липчанского сельского поселения (далее – администрация).</w:t>
      </w:r>
    </w:p>
    <w:p w:rsidR="000203E9" w:rsidRPr="000203E9" w:rsidRDefault="000203E9" w:rsidP="000203E9">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Администрация расположена по адресу: с.Липчанска, ул. Кирова, д. 84, Богучарского района, Воронежской области.</w:t>
      </w:r>
    </w:p>
    <w:p w:rsidR="000203E9" w:rsidRPr="000203E9" w:rsidRDefault="000203E9" w:rsidP="000203E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официальном сайте администрации в сети Интернет (</w:t>
      </w:r>
      <w:r w:rsidRPr="000203E9">
        <w:rPr>
          <w:rFonts w:ascii="Times New Roman" w:eastAsia="Times New Roman" w:hAnsi="Times New Roman" w:cs="Times New Roman"/>
          <w:bCs/>
          <w:kern w:val="32"/>
          <w:sz w:val="24"/>
          <w:szCs w:val="24"/>
          <w:lang w:val="en-US" w:eastAsia="ru-RU"/>
        </w:rPr>
        <w:t>www</w:t>
      </w:r>
      <w:r w:rsidRPr="000203E9">
        <w:rPr>
          <w:rFonts w:ascii="Times New Roman" w:eastAsia="Times New Roman" w:hAnsi="Times New Roman" w:cs="Times New Roman"/>
          <w:bCs/>
          <w:kern w:val="32"/>
          <w:sz w:val="24"/>
          <w:szCs w:val="24"/>
          <w:lang w:eastAsia="ru-RU"/>
        </w:rPr>
        <w:t>.</w:t>
      </w:r>
      <w:r w:rsidRPr="000203E9">
        <w:rPr>
          <w:rFonts w:ascii="Times New Roman" w:eastAsia="Times New Roman" w:hAnsi="Times New Roman" w:cs="Times New Roman"/>
          <w:bCs/>
          <w:kern w:val="32"/>
          <w:sz w:val="24"/>
          <w:szCs w:val="24"/>
          <w:lang w:val="en-US" w:eastAsia="ru-RU"/>
        </w:rPr>
        <w:t>lipchan</w:t>
      </w:r>
      <w:r w:rsidRPr="000203E9">
        <w:rPr>
          <w:rFonts w:ascii="Times New Roman" w:eastAsia="Times New Roman" w:hAnsi="Times New Roman" w:cs="Times New Roman"/>
          <w:bCs/>
          <w:kern w:val="32"/>
          <w:sz w:val="24"/>
          <w:szCs w:val="24"/>
          <w:lang w:eastAsia="ru-RU"/>
        </w:rPr>
        <w:t>.</w:t>
      </w:r>
      <w:r w:rsidRPr="000203E9">
        <w:rPr>
          <w:rFonts w:ascii="Times New Roman" w:eastAsia="Times New Roman" w:hAnsi="Times New Roman" w:cs="Times New Roman"/>
          <w:bCs/>
          <w:kern w:val="32"/>
          <w:sz w:val="24"/>
          <w:szCs w:val="24"/>
          <w:lang w:val="en-US" w:eastAsia="ru-RU"/>
        </w:rPr>
        <w:t>ru</w:t>
      </w:r>
      <w:r w:rsidRPr="000203E9">
        <w:rPr>
          <w:rFonts w:ascii="Times New Roman" w:eastAsia="Times New Roman" w:hAnsi="Times New Roman" w:cs="Times New Roman"/>
          <w:sz w:val="24"/>
          <w:szCs w:val="24"/>
          <w:lang w:eastAsia="ru-RU"/>
        </w:rPr>
        <w:t>);</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0203E9">
        <w:rPr>
          <w:rFonts w:ascii="Times New Roman" w:eastAsia="Times New Roman" w:hAnsi="Times New Roman" w:cs="Times New Roman"/>
          <w:sz w:val="24"/>
          <w:szCs w:val="24"/>
          <w:lang w:val="en-US" w:eastAsia="ru-RU"/>
        </w:rPr>
        <w:t>n</w:t>
      </w:r>
      <w:r w:rsidRPr="000203E9">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информационном стенде в администрации.</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непосредственно в администрации;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текст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формы, образцы заявлений, иных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порядке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ходе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об отказе в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Стандарт предоставления муниципальной услуги</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Липчанского сельского поселения Богучарского муниципального района Воронежской области. </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ar-SA"/>
        </w:rPr>
        <w:t xml:space="preserve">2.2.2. Администрация </w:t>
      </w:r>
      <w:r w:rsidRPr="000203E9">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0203E9">
        <w:rPr>
          <w:rFonts w:ascii="Times New Roman" w:hAnsi="Times New Roman" w:cs="Times New Roman"/>
          <w:sz w:val="24"/>
          <w:szCs w:val="24"/>
          <w:lang w:eastAsia="ar-SA"/>
        </w:rPr>
        <w:t xml:space="preserve">принятия решения о включении ярмарок по </w:t>
      </w:r>
      <w:r w:rsidRPr="000203E9">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0203E9">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Липчанского сельского поселения Богучарского муниципального района Воронежской области.</w:t>
      </w:r>
    </w:p>
    <w:p w:rsidR="000203E9" w:rsidRPr="000203E9" w:rsidRDefault="000203E9" w:rsidP="000203E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2.3. Результат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0203E9" w:rsidRPr="000203E9" w:rsidRDefault="000203E9" w:rsidP="000203E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2.4.Срок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Заявитель в срок до 1-го числа месяца, предшествующего очередному периоду проведения ярмарок обращается в администрацию Липчанского сельского поселения Богучарского муниципального района Воронежской области для включения ярмарки в План проведения ярмарок.</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Липчанского сельского поселения Богучарского муниципального района Воронежской области о дополнительном включении в План проведения ярмарок.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 о внесении изменений в План проведения ярмарок не должен превышать 16 календарных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203E9" w:rsidRPr="000203E9" w:rsidRDefault="000203E9" w:rsidP="000203E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0203E9" w:rsidRPr="000203E9" w:rsidRDefault="000203E9" w:rsidP="000203E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 Уставом Липчанского сельского поселения Богучарского муниципального района Воронежской области;  </w:t>
      </w:r>
    </w:p>
    <w:p w:rsidR="000203E9" w:rsidRPr="000203E9" w:rsidRDefault="000203E9" w:rsidP="000203E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 </w:t>
      </w:r>
      <w:r w:rsidRPr="000203E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0203E9">
        <w:rPr>
          <w:rFonts w:ascii="Times New Roman" w:eastAsia="Times New Roman" w:hAnsi="Times New Roman" w:cs="Times New Roman"/>
          <w:sz w:val="24"/>
          <w:szCs w:val="24"/>
          <w:lang w:eastAsia="ru-RU"/>
        </w:rPr>
        <w:t>Липчанского сельского поселения Богучарского муниципального района Воронежской области</w:t>
      </w:r>
      <w:r w:rsidRPr="000203E9">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Заявление на бумажном носителе представляется: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посредством почтового отправления;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lastRenderedPageBreak/>
        <w:t>- при личном обращении.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письменном заявлении должны быть указаны: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полное наименование и организационно-правовая форма организатора ярмарки - для юридических лиц;</w:t>
      </w:r>
    </w:p>
    <w:p w:rsidR="000203E9" w:rsidRPr="000203E9" w:rsidRDefault="000203E9" w:rsidP="000203E9">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место проведения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вид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срок проведения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режим работы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максимальное количество торговых мест на ярмарке.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0203E9" w:rsidRPr="000203E9" w:rsidRDefault="000203E9" w:rsidP="000203E9">
      <w:pPr>
        <w:spacing w:after="0" w:line="240" w:lineRule="auto"/>
        <w:ind w:firstLine="709"/>
        <w:jc w:val="both"/>
        <w:rPr>
          <w:rFonts w:ascii="Times New Roman" w:hAnsi="Times New Roman" w:cs="Times New Roman"/>
          <w:sz w:val="24"/>
          <w:szCs w:val="24"/>
        </w:rPr>
      </w:pPr>
      <w:r w:rsidRPr="000203E9">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0203E9">
        <w:rPr>
          <w:rFonts w:ascii="Times New Roman" w:hAnsi="Times New Roman" w:cs="Times New Roman"/>
          <w:sz w:val="24"/>
          <w:szCs w:val="24"/>
          <w:lang w:eastAsia="ru-RU"/>
        </w:rPr>
        <w:t>простой электронной подписи.</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К заявлению прилагаются следующие документы: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16"/>
          <w:szCs w:val="16"/>
          <w:lang w:eastAsia="ru-RU"/>
        </w:rPr>
      </w:pPr>
      <w:r w:rsidRPr="000203E9">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16"/>
          <w:szCs w:val="16"/>
          <w:lang w:eastAsia="ru-RU"/>
        </w:rPr>
      </w:pPr>
      <w:r w:rsidRPr="000203E9">
        <w:rPr>
          <w:rFonts w:ascii="Times New Roman" w:eastAsia="Times New Roman" w:hAnsi="Times New Roman" w:cs="Times New Roman"/>
          <w:sz w:val="24"/>
          <w:szCs w:val="24"/>
          <w:lang w:eastAsia="ru-RU"/>
        </w:rPr>
        <w:t xml:space="preserve">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w:t>
      </w:r>
      <w:r w:rsidRPr="000203E9">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 схема границ территории, на которой предполагается проведение ярмарки, нанесенная на план земельного участка;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0203E9">
        <w:rPr>
          <w:rFonts w:ascii="Times New Roman" w:hAnsi="Times New Roman" w:cs="Times New Roman"/>
          <w:sz w:val="24"/>
          <w:szCs w:val="24"/>
          <w:lang w:eastAsia="ru-RU"/>
        </w:rPr>
        <w:t>правлении Федеральной налоговой службы по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Запрещается требовать от заявителя: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Липчанского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0203E9" w:rsidRPr="000203E9" w:rsidRDefault="000203E9" w:rsidP="000203E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203E9" w:rsidRPr="000203E9" w:rsidRDefault="000203E9" w:rsidP="000203E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203E9" w:rsidRPr="000203E9" w:rsidRDefault="000203E9" w:rsidP="000203E9">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2.12.4. Места информирования, предназначенные для ознакомления заявителей с информационными материалами, оборудуются: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стульями и столами для оформления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образцы оформления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2.13.1. Показателями доступности муниципальной услуги являются: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соблюдение графика работы администрации;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w:t>
      </w:r>
      <w:r w:rsidRPr="000203E9">
        <w:rPr>
          <w:rFonts w:ascii="Times New Roman" w:hAnsi="Times New Roman" w:cs="Times New Roman"/>
          <w:sz w:val="24"/>
          <w:szCs w:val="24"/>
          <w:lang w:eastAsia="ar-SA"/>
        </w:rPr>
        <w:lastRenderedPageBreak/>
        <w:t>Интернет, на официальном сайте администрации, на информационных стендах в местах предоставления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2.13.2. Показателями качества муниципальной услуги являются: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соблюдение сроков предоставления муниципальной услуги;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0203E9" w:rsidRPr="000203E9" w:rsidRDefault="000203E9" w:rsidP="000203E9">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прием и регистрация заявления и прилагаемых к нему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проверяет соответствие заявления установленным требованиям;</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0203E9">
        <w:rPr>
          <w:rFonts w:ascii="Times New Roman" w:hAnsi="Times New Roman" w:cs="Times New Roman"/>
          <w:sz w:val="24"/>
          <w:szCs w:val="24"/>
          <w:lang w:eastAsia="ar-SA"/>
        </w:rPr>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0203E9" w:rsidRPr="000203E9" w:rsidRDefault="000203E9" w:rsidP="000203E9">
      <w:pPr>
        <w:widowControl w:val="0"/>
        <w:suppressAutoHyphens/>
        <w:autoSpaceDE w:val="0"/>
        <w:spacing w:after="0" w:line="240" w:lineRule="auto"/>
        <w:ind w:firstLine="709"/>
        <w:jc w:val="both"/>
        <w:rPr>
          <w:rFonts w:ascii="Times New Roman" w:eastAsia="Calibri" w:hAnsi="Times New Roman" w:cs="Times New Roman"/>
          <w:sz w:val="24"/>
          <w:szCs w:val="24"/>
        </w:rPr>
      </w:pPr>
      <w:r w:rsidRPr="000203E9">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0203E9">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Уведомление о получении заявления</w:t>
      </w:r>
      <w:r w:rsidRPr="000203E9">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Уведомление о получении заявления</w:t>
      </w:r>
      <w:r w:rsidRPr="000203E9">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0203E9" w:rsidRPr="000203E9" w:rsidRDefault="000203E9" w:rsidP="000203E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готовит проект постановления администрации о в</w:t>
      </w:r>
      <w:r w:rsidRPr="000203E9">
        <w:rPr>
          <w:rFonts w:ascii="Times New Roman" w:eastAsia="Times New Roman" w:hAnsi="Times New Roman" w:cs="Times New Roman"/>
          <w:sz w:val="24"/>
          <w:szCs w:val="24"/>
          <w:lang w:eastAsia="ru-RU"/>
        </w:rPr>
        <w:t>ключении ярмарки в План проведения ярмарок</w:t>
      </w:r>
      <w:r w:rsidRPr="000203E9">
        <w:rPr>
          <w:rFonts w:ascii="Times New Roman" w:eastAsia="Calibri" w:hAnsi="Times New Roman" w:cs="Times New Roman"/>
          <w:sz w:val="24"/>
          <w:szCs w:val="24"/>
        </w:rPr>
        <w:t xml:space="preserve"> (далее - постановление);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0203E9">
        <w:rPr>
          <w:rFonts w:ascii="Times New Roman" w:eastAsia="Times New Roman" w:hAnsi="Times New Roman" w:cs="Times New Roman"/>
          <w:sz w:val="24"/>
          <w:szCs w:val="24"/>
          <w:lang w:eastAsia="ru-RU"/>
        </w:rPr>
        <w:t>главе Липчанского сельского поселения;</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готовит проект постановления администрации об отказе 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(далее - постановление об отказе);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0203E9">
        <w:rPr>
          <w:rFonts w:ascii="Times New Roman" w:eastAsia="Times New Roman" w:hAnsi="Times New Roman" w:cs="Times New Roman"/>
          <w:sz w:val="24"/>
          <w:szCs w:val="24"/>
          <w:lang w:eastAsia="ru-RU"/>
        </w:rPr>
        <w:t>главе Липчанского сельского поселения</w:t>
      </w:r>
      <w:r w:rsidRPr="000203E9">
        <w:rPr>
          <w:rFonts w:ascii="Times New Roman" w:eastAsia="Calibri" w:hAnsi="Times New Roman" w:cs="Times New Roman"/>
          <w:sz w:val="24"/>
          <w:szCs w:val="24"/>
        </w:rPr>
        <w:t>;</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0203E9" w:rsidRPr="000203E9" w:rsidRDefault="000203E9" w:rsidP="000203E9">
      <w:pPr>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В случае отказа 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xml:space="preserve">3.4.3. Уведомление и постановление регистрируются в журнале регистрации </w:t>
      </w:r>
      <w:r w:rsidRPr="000203E9">
        <w:rPr>
          <w:rFonts w:ascii="Times New Roman" w:eastAsia="Calibri" w:hAnsi="Times New Roman" w:cs="Times New Roman"/>
          <w:sz w:val="24"/>
          <w:szCs w:val="24"/>
        </w:rPr>
        <w:lastRenderedPageBreak/>
        <w:t>в</w:t>
      </w:r>
      <w:r w:rsidRPr="000203E9">
        <w:rPr>
          <w:rFonts w:ascii="Times New Roman" w:eastAsia="Times New Roman" w:hAnsi="Times New Roman" w:cs="Times New Roman"/>
          <w:sz w:val="24"/>
          <w:szCs w:val="24"/>
          <w:lang w:eastAsia="ru-RU"/>
        </w:rPr>
        <w:t>ключения ярмарки в План проведения ярмарок</w:t>
      </w:r>
      <w:r w:rsidRPr="000203E9">
        <w:rPr>
          <w:rFonts w:ascii="Times New Roman" w:eastAsia="Calibri" w:hAnsi="Times New Roman" w:cs="Times New Roman"/>
          <w:sz w:val="24"/>
          <w:szCs w:val="24"/>
        </w:rPr>
        <w:t xml:space="preserve"> администрации.</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3.4.4. Результатом административной процедуры является:</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Принятие решения</w:t>
      </w:r>
      <w:r w:rsidRPr="000203E9">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3.4.5. Максимальный срок исполнения административной процедуры:</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0203E9" w:rsidRPr="000203E9" w:rsidRDefault="000203E9" w:rsidP="000203E9">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Calibri" w:hAnsi="Times New Roman" w:cs="Times New Roman"/>
          <w:sz w:val="24"/>
          <w:szCs w:val="24"/>
        </w:rPr>
        <w:t xml:space="preserve">3.5.1. Уведомление о </w:t>
      </w:r>
      <w:r w:rsidRPr="000203E9">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0203E9">
        <w:rPr>
          <w:rFonts w:ascii="Times New Roman" w:eastAsia="Calibri" w:hAnsi="Times New Roman" w:cs="Times New Roman"/>
          <w:sz w:val="24"/>
          <w:szCs w:val="24"/>
        </w:rPr>
        <w:t xml:space="preserve">с приложением постановления о </w:t>
      </w:r>
      <w:r w:rsidRPr="000203E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03E9">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0203E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03E9">
        <w:rPr>
          <w:rFonts w:ascii="Times New Roman" w:eastAsia="Calibri" w:hAnsi="Times New Roman" w:cs="Times New Roman"/>
          <w:sz w:val="24"/>
          <w:szCs w:val="24"/>
        </w:rPr>
        <w:t xml:space="preserve"> с приложением постановления о </w:t>
      </w:r>
      <w:r w:rsidRPr="000203E9">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03E9">
        <w:rPr>
          <w:rFonts w:ascii="Times New Roman" w:eastAsia="Calibri" w:hAnsi="Times New Roman" w:cs="Times New Roman"/>
          <w:sz w:val="24"/>
          <w:szCs w:val="24"/>
        </w:rPr>
        <w:t>.</w:t>
      </w:r>
    </w:p>
    <w:p w:rsidR="000203E9" w:rsidRPr="000203E9" w:rsidRDefault="000203E9" w:rsidP="000203E9">
      <w:pPr>
        <w:widowControl w:val="0"/>
        <w:adjustRightInd w:val="0"/>
        <w:spacing w:after="0" w:line="240" w:lineRule="auto"/>
        <w:ind w:firstLine="709"/>
        <w:jc w:val="both"/>
        <w:rPr>
          <w:rFonts w:ascii="Times New Roman" w:eastAsia="Calibri" w:hAnsi="Times New Roman" w:cs="Times New Roman"/>
          <w:sz w:val="24"/>
          <w:szCs w:val="24"/>
        </w:rPr>
      </w:pPr>
      <w:r w:rsidRPr="000203E9">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03E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203E9" w:rsidRPr="000203E9" w:rsidRDefault="000203E9" w:rsidP="000203E9">
      <w:pPr>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5.2. Заявитель может обратиться с жалобой, в том числе в следующих случаях: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2) нарушение срока предоставления муниципальной услуги;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203E9">
        <w:rPr>
          <w:rFonts w:ascii="Times New Roman" w:hAnsi="Times New Roman" w:cs="Times New Roman"/>
          <w:sz w:val="24"/>
          <w:szCs w:val="24"/>
          <w:lang w:eastAsia="ar-SA"/>
        </w:rPr>
        <w:t>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w:t>
      </w:r>
      <w:r w:rsidRPr="000203E9">
        <w:rPr>
          <w:rFonts w:ascii="Times New Roman" w:hAnsi="Times New Roman" w:cs="Times New Roman"/>
          <w:sz w:val="24"/>
          <w:szCs w:val="24"/>
          <w:lang w:eastAsia="ru-RU"/>
        </w:rPr>
        <w:t xml:space="preserve"> для предоставления муниципальной услуги;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203E9">
        <w:rPr>
          <w:rFonts w:ascii="Times New Roman" w:hAnsi="Times New Roman" w:cs="Times New Roman"/>
          <w:sz w:val="24"/>
          <w:szCs w:val="24"/>
          <w:lang w:eastAsia="ar-SA"/>
        </w:rPr>
        <w:t xml:space="preserve">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w:t>
      </w:r>
      <w:r w:rsidRPr="000203E9">
        <w:rPr>
          <w:rFonts w:ascii="Times New Roman" w:hAnsi="Times New Roman" w:cs="Times New Roman"/>
          <w:sz w:val="24"/>
          <w:szCs w:val="24"/>
          <w:lang w:eastAsia="ru-RU"/>
        </w:rPr>
        <w:t>для предоставления муниципальной услуги, у заявителя;</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 xml:space="preserve">5) отказ в предоставлении муниципальной услуги, если основания отказа не </w:t>
      </w:r>
      <w:r w:rsidRPr="000203E9">
        <w:rPr>
          <w:rFonts w:ascii="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203E9">
        <w:rPr>
          <w:rFonts w:ascii="Times New Roman" w:hAnsi="Times New Roman" w:cs="Times New Roman"/>
          <w:sz w:val="24"/>
          <w:szCs w:val="24"/>
          <w:lang w:eastAsia="ar-SA"/>
        </w:rPr>
        <w:t xml:space="preserve">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w:t>
      </w:r>
      <w:r w:rsidRPr="000203E9">
        <w:rPr>
          <w:rFonts w:ascii="Times New Roman" w:hAnsi="Times New Roman" w:cs="Times New Roman"/>
          <w:sz w:val="24"/>
          <w:szCs w:val="24"/>
          <w:lang w:eastAsia="ru-RU"/>
        </w:rPr>
        <w:t>;</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203E9">
        <w:rPr>
          <w:rFonts w:ascii="Times New Roman" w:hAnsi="Times New Roman" w:cs="Times New Roman"/>
          <w:sz w:val="24"/>
          <w:szCs w:val="24"/>
          <w:lang w:eastAsia="ar-SA"/>
        </w:rPr>
        <w:t xml:space="preserve">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w:t>
      </w:r>
      <w:r w:rsidRPr="000203E9">
        <w:rPr>
          <w:rFonts w:ascii="Times New Roman" w:hAnsi="Times New Roman" w:cs="Times New Roman"/>
          <w:sz w:val="24"/>
          <w:szCs w:val="24"/>
          <w:lang w:eastAsia="ru-RU"/>
        </w:rPr>
        <w:t>;</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5.5. Жалоба должна содержать:</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0203E9">
        <w:rPr>
          <w:rFonts w:ascii="Times New Roman" w:hAnsi="Times New Roman" w:cs="Times New Roman"/>
          <w:sz w:val="24"/>
          <w:szCs w:val="24"/>
          <w:lang w:eastAsia="ar-SA"/>
        </w:rPr>
        <w:t>лаве администрации главе Липчанского сельского поселения.</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203E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3E9" w:rsidRPr="000203E9" w:rsidRDefault="000203E9" w:rsidP="000203E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03E9">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3E9" w:rsidRPr="000203E9" w:rsidRDefault="000203E9" w:rsidP="000203E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03E9" w:rsidRPr="000203E9" w:rsidRDefault="000203E9" w:rsidP="000203E9">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1</w:t>
      </w:r>
    </w:p>
    <w:p w:rsidR="000203E9" w:rsidRPr="000203E9" w:rsidRDefault="000203E9" w:rsidP="000203E9">
      <w:pPr>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djustRightInd w:val="0"/>
        <w:spacing w:after="0" w:line="240" w:lineRule="auto"/>
        <w:ind w:firstLine="567"/>
        <w:jc w:val="center"/>
        <w:rPr>
          <w:rFonts w:ascii="Times New Roman" w:eastAsia="Times New Roman" w:hAnsi="Times New Roman" w:cs="Times New Roman"/>
          <w:sz w:val="24"/>
          <w:szCs w:val="24"/>
          <w:lang w:eastAsia="ru-RU"/>
        </w:rPr>
      </w:pP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Место нахождения администрации Липчанского сельского поселения: село Липчанка, улица Кирова, дом № 84, Богучарского района, Воронежской области.</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График работы администрации Липчанского сельского поселения:</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понедельник - пятница: с 08.00 до 17.00;</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перерыв: с 12.00 до 13.00;</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ar-SA"/>
        </w:rPr>
      </w:pPr>
      <w:r w:rsidRPr="000203E9">
        <w:rPr>
          <w:rFonts w:ascii="Times New Roman" w:eastAsia="Times New Roman" w:hAnsi="Times New Roman" w:cs="Times New Roman"/>
          <w:sz w:val="24"/>
          <w:szCs w:val="24"/>
          <w:lang w:eastAsia="ar-SA"/>
        </w:rPr>
        <w:t>суббота, воскресенье – выходной.</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Официальный сайт администрации Липчанского сельского поселения в сети Интернет: </w:t>
      </w:r>
      <w:r w:rsidRPr="000203E9">
        <w:rPr>
          <w:rFonts w:ascii="Times New Roman" w:eastAsia="Times New Roman" w:hAnsi="Times New Roman" w:cs="Times New Roman"/>
          <w:bCs/>
          <w:kern w:val="32"/>
          <w:sz w:val="24"/>
          <w:szCs w:val="24"/>
          <w:lang w:val="en-US" w:eastAsia="ru-RU"/>
        </w:rPr>
        <w:t>www</w:t>
      </w:r>
      <w:r w:rsidRPr="000203E9">
        <w:rPr>
          <w:rFonts w:ascii="Times New Roman" w:eastAsia="Times New Roman" w:hAnsi="Times New Roman" w:cs="Times New Roman"/>
          <w:bCs/>
          <w:kern w:val="32"/>
          <w:sz w:val="24"/>
          <w:szCs w:val="24"/>
          <w:lang w:eastAsia="ru-RU"/>
        </w:rPr>
        <w:t>.</w:t>
      </w:r>
      <w:r w:rsidRPr="000203E9">
        <w:rPr>
          <w:rFonts w:ascii="Times New Roman" w:eastAsia="Times New Roman" w:hAnsi="Times New Roman" w:cs="Times New Roman"/>
          <w:bCs/>
          <w:kern w:val="32"/>
          <w:sz w:val="24"/>
          <w:szCs w:val="24"/>
          <w:lang w:val="en-US" w:eastAsia="ru-RU"/>
        </w:rPr>
        <w:t>lipchan</w:t>
      </w:r>
      <w:r w:rsidRPr="000203E9">
        <w:rPr>
          <w:rFonts w:ascii="Times New Roman" w:eastAsia="Times New Roman" w:hAnsi="Times New Roman" w:cs="Times New Roman"/>
          <w:bCs/>
          <w:kern w:val="32"/>
          <w:sz w:val="24"/>
          <w:szCs w:val="24"/>
          <w:lang w:eastAsia="ru-RU"/>
        </w:rPr>
        <w:t>.</w:t>
      </w:r>
      <w:r w:rsidRPr="000203E9">
        <w:rPr>
          <w:rFonts w:ascii="Times New Roman" w:eastAsia="Times New Roman" w:hAnsi="Times New Roman" w:cs="Times New Roman"/>
          <w:bCs/>
          <w:kern w:val="32"/>
          <w:sz w:val="24"/>
          <w:szCs w:val="24"/>
          <w:lang w:val="en-US" w:eastAsia="ru-RU"/>
        </w:rPr>
        <w:t>ru</w:t>
      </w:r>
      <w:r w:rsidRPr="000203E9">
        <w:rPr>
          <w:rFonts w:ascii="Times New Roman" w:eastAsia="Times New Roman" w:hAnsi="Times New Roman" w:cs="Times New Roman"/>
          <w:sz w:val="24"/>
          <w:szCs w:val="24"/>
          <w:lang w:eastAsia="ru-RU"/>
        </w:rPr>
        <w:t>.</w:t>
      </w:r>
    </w:p>
    <w:p w:rsidR="000203E9" w:rsidRPr="000203E9" w:rsidRDefault="000203E9" w:rsidP="000203E9">
      <w:pPr>
        <w:adjustRightInd w:val="0"/>
        <w:spacing w:after="0" w:line="240" w:lineRule="auto"/>
        <w:ind w:firstLine="567"/>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поселения: </w:t>
      </w:r>
      <w:r w:rsidRPr="000203E9">
        <w:rPr>
          <w:rFonts w:ascii="Times New Roman" w:eastAsia="Times New Roman" w:hAnsi="Times New Roman" w:cs="Times New Roman"/>
          <w:sz w:val="24"/>
          <w:szCs w:val="24"/>
          <w:highlight w:val="white"/>
          <w:lang w:val="en-US" w:eastAsia="ru-RU"/>
        </w:rPr>
        <w:t>lipch</w:t>
      </w:r>
      <w:r w:rsidRPr="000203E9">
        <w:rPr>
          <w:rFonts w:ascii="Times New Roman" w:eastAsia="Times New Roman" w:hAnsi="Times New Roman" w:cs="Times New Roman"/>
          <w:sz w:val="24"/>
          <w:szCs w:val="24"/>
          <w:highlight w:val="white"/>
          <w:lang w:eastAsia="ru-RU"/>
        </w:rPr>
        <w:t>.</w:t>
      </w:r>
      <w:r w:rsidRPr="000203E9">
        <w:rPr>
          <w:rFonts w:ascii="Times New Roman" w:eastAsia="Times New Roman" w:hAnsi="Times New Roman" w:cs="Times New Roman"/>
          <w:sz w:val="24"/>
          <w:szCs w:val="24"/>
          <w:highlight w:val="white"/>
          <w:lang w:val="en-US" w:eastAsia="ru-RU"/>
        </w:rPr>
        <w:t>boguch</w:t>
      </w:r>
      <w:r w:rsidRPr="000203E9">
        <w:rPr>
          <w:rFonts w:ascii="Times New Roman" w:eastAsia="Times New Roman" w:hAnsi="Times New Roman" w:cs="Times New Roman"/>
          <w:sz w:val="24"/>
          <w:szCs w:val="24"/>
          <w:highlight w:val="white"/>
          <w:lang w:eastAsia="ru-RU"/>
        </w:rPr>
        <w:t>@</w:t>
      </w:r>
      <w:r w:rsidRPr="000203E9">
        <w:rPr>
          <w:rFonts w:ascii="Times New Roman" w:eastAsia="Times New Roman" w:hAnsi="Times New Roman" w:cs="Times New Roman"/>
          <w:sz w:val="24"/>
          <w:szCs w:val="24"/>
          <w:highlight w:val="white"/>
          <w:lang w:val="en-US" w:eastAsia="ru-RU"/>
        </w:rPr>
        <w:t>govvrn</w:t>
      </w:r>
      <w:r w:rsidRPr="000203E9">
        <w:rPr>
          <w:rFonts w:ascii="Times New Roman" w:eastAsia="Times New Roman" w:hAnsi="Times New Roman" w:cs="Times New Roman"/>
          <w:sz w:val="24"/>
          <w:szCs w:val="24"/>
          <w:highlight w:val="white"/>
          <w:lang w:eastAsia="ru-RU"/>
        </w:rPr>
        <w:t>.</w:t>
      </w:r>
      <w:r w:rsidRPr="000203E9">
        <w:rPr>
          <w:rFonts w:ascii="Times New Roman" w:eastAsia="Times New Roman" w:hAnsi="Times New Roman" w:cs="Times New Roman"/>
          <w:sz w:val="24"/>
          <w:szCs w:val="24"/>
          <w:highlight w:val="white"/>
          <w:lang w:val="en-US" w:eastAsia="ru-RU"/>
        </w:rPr>
        <w:t>ru</w:t>
      </w:r>
      <w:r w:rsidRPr="000203E9">
        <w:rPr>
          <w:rFonts w:ascii="Times New Roman" w:eastAsia="Times New Roman" w:hAnsi="Times New Roman" w:cs="Times New Roman"/>
          <w:sz w:val="24"/>
          <w:szCs w:val="24"/>
          <w:lang w:eastAsia="ru-RU"/>
        </w:rPr>
        <w:t>.</w:t>
      </w:r>
    </w:p>
    <w:p w:rsidR="000203E9" w:rsidRPr="000203E9" w:rsidRDefault="000203E9" w:rsidP="000203E9">
      <w:pPr>
        <w:spacing w:after="0" w:line="240" w:lineRule="auto"/>
        <w:ind w:firstLine="567"/>
        <w:jc w:val="both"/>
        <w:rPr>
          <w:rFonts w:ascii="Times New Roman" w:eastAsia="Times New Roman" w:hAnsi="Times New Roman" w:cs="Times New Roman"/>
          <w:sz w:val="24"/>
          <w:szCs w:val="24"/>
          <w:lang w:eastAsia="ar-SA"/>
        </w:rPr>
      </w:pPr>
      <w:r w:rsidRPr="000203E9">
        <w:rPr>
          <w:rFonts w:ascii="Times New Roman" w:eastAsia="Times New Roman" w:hAnsi="Times New Roman" w:cs="Times New Roman"/>
          <w:sz w:val="24"/>
          <w:szCs w:val="24"/>
          <w:lang w:eastAsia="ru-RU"/>
        </w:rPr>
        <w:t>2. Телефоны для справок: 8(47366) 5-92-93, 5-92-23.</w:t>
      </w:r>
    </w:p>
    <w:p w:rsidR="000203E9" w:rsidRPr="000203E9" w:rsidRDefault="000203E9" w:rsidP="000203E9">
      <w:pPr>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2</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уведомления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0203E9">
        <w:rPr>
          <w:rFonts w:ascii="Times New Roman" w:eastAsia="Times New Roman" w:hAnsi="Times New Roman" w:cs="Times New Roman"/>
          <w:sz w:val="24"/>
          <w:szCs w:val="24"/>
          <w:lang w:eastAsia="ru-RU"/>
        </w:rPr>
        <w:t>Уведомление</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Кому: ____________________________________________________________</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Липчанского сельского поселения принято решение: </w:t>
      </w:r>
      <w:r w:rsidRPr="000203E9">
        <w:rPr>
          <w:rFonts w:ascii="Times New Roman" w:eastAsia="Times New Roman" w:hAnsi="Times New Roman" w:cs="Times New Roman"/>
          <w:sz w:val="20"/>
          <w:szCs w:val="20"/>
          <w:lang w:eastAsia="ru-RU"/>
        </w:rPr>
        <w:t>(нужное заполнить)</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1) включить ярмарку в План проведения ярмарок</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________________________________________________________________________</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________________________________________________________________________</w:t>
      </w:r>
    </w:p>
    <w:p w:rsidR="000203E9" w:rsidRPr="000203E9" w:rsidRDefault="000203E9" w:rsidP="000203E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Причины отказа:</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М.П. ___________________      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(подпись)                                                 (Ф.И.О.)</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3</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заявления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Главе Липчанского сельского поселения </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(Ф.И.О. главы поселения)</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личность  индивидуального предпринимателя)</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w:t>
      </w:r>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 доверенности в интересах)</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Заявление</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_______________________________________________________________ ярмарку. </w:t>
      </w:r>
    </w:p>
    <w:p w:rsidR="000203E9" w:rsidRPr="000203E9" w:rsidRDefault="000203E9" w:rsidP="000203E9">
      <w:pPr>
        <w:spacing w:after="0" w:line="240" w:lineRule="auto"/>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указать вид: универсальная, специализированная, сезонная</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адресу_____________________________________________________</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для реализации __________________________________________________________ </w:t>
      </w:r>
    </w:p>
    <w:p w:rsidR="000203E9" w:rsidRPr="000203E9" w:rsidRDefault="000203E9" w:rsidP="000203E9">
      <w:pPr>
        <w:spacing w:after="0" w:line="240" w:lineRule="auto"/>
        <w:ind w:firstLine="709"/>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указать ассортимент реализуемых товаров</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сроком _____________________________  режимом работы ____________________ </w:t>
      </w:r>
    </w:p>
    <w:p w:rsidR="000203E9" w:rsidRPr="000203E9" w:rsidRDefault="000203E9" w:rsidP="000203E9">
      <w:pPr>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емкостью _____________________ торговых мест.</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Приложение: на ________ листах.</w:t>
      </w: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 __________________ 20__ г.                            Подпись ___________</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4</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уведомления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0203E9" w:rsidRPr="000203E9" w:rsidRDefault="000203E9" w:rsidP="000203E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Кому:_______________________________________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___________________________________________________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юридического лица или Ф.И.О.,</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___________________________________________________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место жительства, </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____________________________________________________</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данные документа, удостоверяющего личность </w:t>
      </w:r>
    </w:p>
    <w:p w:rsidR="000203E9" w:rsidRPr="000203E9" w:rsidRDefault="000203E9" w:rsidP="000203E9">
      <w:pPr>
        <w:widowControl w:val="0"/>
        <w:adjustRightInd w:val="0"/>
        <w:spacing w:after="0" w:line="240" w:lineRule="auto"/>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0"/>
          <w:szCs w:val="20"/>
          <w:lang w:eastAsia="ru-RU"/>
        </w:rPr>
        <w:t>индивидуального предпринимателя</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и (или) представления отсутствующих документов</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Липчанского сельского поселения Богучарского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5</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Форма уведомления</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Уведомление</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о включении ярмарки в План проведения ярмарок</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Настоящим удостоверяется, что заявитель _____________________________</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_______________________________________________________________________</w:t>
      </w:r>
    </w:p>
    <w:p w:rsidR="000203E9" w:rsidRPr="000203E9" w:rsidRDefault="000203E9" w:rsidP="000203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03E9" w:rsidRPr="000203E9" w:rsidRDefault="000203E9" w:rsidP="000203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представил, а сотрудник администрации Липчанского сельского поселения получил «_______» _______________   ___________ документы в количестве _____________</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(число)          (месяц прописью)               (год)                                                              (прописью)</w:t>
      </w:r>
    </w:p>
    <w:p w:rsidR="000203E9" w:rsidRPr="000203E9" w:rsidRDefault="000203E9" w:rsidP="00020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Липчанского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Получены прилагаемые к заявлению документы:</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__________________________________________________________________</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xml:space="preserve">_____________________              ______________    ____________ </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(должность специалиста, </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ответственного  за прием                           (подпись)              (расшифровка </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03E9">
        <w:rPr>
          <w:rFonts w:ascii="Times New Roman" w:eastAsia="Times New Roman" w:hAnsi="Times New Roman" w:cs="Times New Roman"/>
          <w:sz w:val="20"/>
          <w:szCs w:val="20"/>
          <w:lang w:eastAsia="ru-RU"/>
        </w:rPr>
        <w:t xml:space="preserve">        документов)</w:t>
      </w: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0203E9" w:rsidRPr="000203E9" w:rsidRDefault="000203E9" w:rsidP="000203E9">
      <w:pPr>
        <w:adjustRightInd w:val="0"/>
        <w:spacing w:after="0" w:line="240" w:lineRule="auto"/>
        <w:ind w:firstLine="709"/>
        <w:jc w:val="both"/>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br w:type="page"/>
      </w:r>
      <w:r w:rsidRPr="000203E9">
        <w:rPr>
          <w:rFonts w:ascii="Times New Roman" w:eastAsia="Times New Roman" w:hAnsi="Times New Roman" w:cs="Times New Roman"/>
          <w:sz w:val="24"/>
          <w:szCs w:val="24"/>
          <w:lang w:eastAsia="ru-RU"/>
        </w:rPr>
        <w:lastRenderedPageBreak/>
        <w:t>Приложение № 6</w:t>
      </w:r>
    </w:p>
    <w:p w:rsidR="000203E9" w:rsidRPr="000203E9" w:rsidRDefault="000203E9" w:rsidP="000203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к административному регламенту</w:t>
      </w:r>
    </w:p>
    <w:p w:rsidR="000203E9" w:rsidRPr="000203E9" w:rsidRDefault="000203E9" w:rsidP="000203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03E9" w:rsidRPr="000203E9" w:rsidRDefault="000203E9" w:rsidP="000203E9">
      <w:pPr>
        <w:widowControl w:val="0"/>
        <w:adjustRightInd w:val="0"/>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Блок-схема</w:t>
      </w:r>
    </w:p>
    <w:p w:rsidR="000203E9" w:rsidRPr="000203E9" w:rsidRDefault="000203E9" w:rsidP="000203E9">
      <w:pPr>
        <w:tabs>
          <w:tab w:val="left" w:pos="5529"/>
        </w:tabs>
        <w:spacing w:after="0" w:line="240" w:lineRule="auto"/>
        <w:jc w:val="center"/>
        <w:rPr>
          <w:rFonts w:ascii="Times New Roman" w:eastAsia="Times New Roman" w:hAnsi="Times New Roman" w:cs="Times New Roman"/>
          <w:sz w:val="24"/>
          <w:szCs w:val="24"/>
          <w:lang w:eastAsia="ru-RU"/>
        </w:rPr>
      </w:pPr>
      <w:r w:rsidRPr="000203E9">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0203E9" w:rsidRPr="000203E9" w:rsidRDefault="000203E9" w:rsidP="000203E9">
      <w:pPr>
        <w:spacing w:after="0" w:line="240" w:lineRule="auto"/>
        <w:jc w:val="center"/>
        <w:rPr>
          <w:rFonts w:ascii="Arial" w:eastAsia="Times New Roman" w:hAnsi="Arial" w:cs="Arial"/>
          <w:sz w:val="24"/>
          <w:szCs w:val="24"/>
          <w:lang w:eastAsia="ru-RU"/>
        </w:rPr>
      </w:pPr>
      <w:r w:rsidRPr="000203E9">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w:t>
      </w:r>
      <w:r w:rsidRPr="000203E9">
        <w:rPr>
          <w:rFonts w:ascii="Arial" w:eastAsia="Times New Roman" w:hAnsi="Arial" w:cs="Arial"/>
          <w:sz w:val="24"/>
          <w:szCs w:val="24"/>
          <w:lang w:eastAsia="ru-RU"/>
        </w:rPr>
        <w:t xml:space="preserve"> </w:t>
      </w:r>
      <w:r w:rsidR="00FC4ADA" w:rsidRPr="00FC4ADA">
        <w:rPr>
          <w:rFonts w:ascii="Arial" w:eastAsia="Times New Roman" w:hAnsi="Arial" w:cs="Times New Roman"/>
          <w:noProof/>
          <w:sz w:val="24"/>
          <w:szCs w:val="24"/>
          <w:lang w:eastAsia="ru-RU"/>
        </w:rPr>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
              <v:fill o:detectmouseclick="t"/>
              <v:path o:connecttype="none"/>
            </v:shape>
            <v:rect id="Rectangle 4" o:spid="_x0000_s1028" style="position:absolute;left:17894;top:1371;width:24511;height:6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tblPr>
                    <w:tblGrid>
                      <w:gridCol w:w="3572"/>
                    </w:tblGrid>
                    <w:tr w:rsidR="000203E9">
                      <w:trPr>
                        <w:tblCellSpacing w:w="0" w:type="dxa"/>
                      </w:trPr>
                      <w:tc>
                        <w:tcPr>
                          <w:tcW w:w="0" w:type="auto"/>
                          <w:vAlign w:val="center"/>
                          <w:hideMark/>
                        </w:tcPr>
                        <w:p w:rsidR="000203E9" w:rsidRDefault="000203E9">
                          <w:pPr>
                            <w:jc w:val="center"/>
                            <w:rPr>
                              <w:rFonts w:cs="Arial"/>
                              <w:sz w:val="20"/>
                            </w:rPr>
                          </w:pPr>
                          <w:r>
                            <w:rPr>
                              <w:rFonts w:cs="Arial"/>
                              <w:sz w:val="20"/>
                            </w:rPr>
                            <w:t xml:space="preserve">Прием и регистрация заявления и прилагаемых к нему документов </w:t>
                          </w:r>
                        </w:p>
                        <w:p w:rsidR="000203E9" w:rsidRDefault="000203E9">
                          <w:pPr>
                            <w:jc w:val="center"/>
                            <w:rPr>
                              <w:rFonts w:cs="Arial"/>
                              <w:sz w:val="20"/>
                            </w:rPr>
                          </w:pPr>
                          <w:r>
                            <w:rPr>
                              <w:rFonts w:cs="Arial"/>
                              <w:sz w:val="20"/>
                            </w:rPr>
                            <w:t xml:space="preserve">о включении ярмарки </w:t>
                          </w:r>
                        </w:p>
                        <w:p w:rsidR="000203E9" w:rsidRDefault="000203E9">
                          <w:pPr>
                            <w:jc w:val="center"/>
                            <w:rPr>
                              <w:rFonts w:cs="Times New Roman"/>
                              <w:sz w:val="20"/>
                            </w:rPr>
                          </w:pPr>
                          <w:r>
                            <w:rPr>
                              <w:sz w:val="20"/>
                            </w:rPr>
                            <w:t>в План проведения ярмарок</w:t>
                          </w:r>
                        </w:p>
                      </w:tc>
                    </w:tr>
                  </w:tbl>
                  <w:p w:rsidR="000203E9" w:rsidRDefault="000203E9" w:rsidP="000203E9">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tblPr>
                    <w:tblGrid>
                      <w:gridCol w:w="1308"/>
                    </w:tblGrid>
                    <w:tr w:rsidR="000203E9">
                      <w:trPr>
                        <w:tblCellSpacing w:w="0" w:type="dxa"/>
                      </w:trPr>
                      <w:tc>
                        <w:tcPr>
                          <w:tcW w:w="0" w:type="auto"/>
                          <w:vAlign w:val="center"/>
                          <w:hideMark/>
                        </w:tcPr>
                        <w:p w:rsidR="000203E9" w:rsidRDefault="000203E9">
                          <w:pPr>
                            <w:ind w:left="-567" w:right="-556"/>
                            <w:jc w:val="center"/>
                            <w:rPr>
                              <w:sz w:val="18"/>
                              <w:szCs w:val="18"/>
                            </w:rPr>
                          </w:pPr>
                          <w:r>
                            <w:rPr>
                              <w:sz w:val="18"/>
                              <w:szCs w:val="18"/>
                            </w:rPr>
                            <w:t>Не соответствуют предъявляемым</w:t>
                          </w:r>
                        </w:p>
                        <w:p w:rsidR="000203E9" w:rsidRDefault="000203E9">
                          <w:pPr>
                            <w:ind w:left="-567" w:right="-556"/>
                            <w:jc w:val="center"/>
                            <w:rPr>
                              <w:sz w:val="18"/>
                              <w:szCs w:val="18"/>
                            </w:rPr>
                          </w:pPr>
                          <w:r>
                            <w:rPr>
                              <w:sz w:val="18"/>
                              <w:szCs w:val="18"/>
                            </w:rPr>
                            <w:t>требованиям</w:t>
                          </w:r>
                        </w:p>
                      </w:tc>
                    </w:tr>
                  </w:tbl>
                  <w:p w:rsidR="000203E9" w:rsidRDefault="000203E9" w:rsidP="000203E9">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tblPr>
                    <w:tblGrid>
                      <w:gridCol w:w="1355"/>
                    </w:tblGrid>
                    <w:tr w:rsidR="000203E9">
                      <w:trPr>
                        <w:tblCellSpacing w:w="0" w:type="dxa"/>
                      </w:trPr>
                      <w:tc>
                        <w:tcPr>
                          <w:tcW w:w="0" w:type="auto"/>
                          <w:vAlign w:val="center"/>
                          <w:hideMark/>
                        </w:tcPr>
                        <w:p w:rsidR="000203E9" w:rsidRDefault="000203E9">
                          <w:pPr>
                            <w:ind w:right="-72"/>
                            <w:jc w:val="center"/>
                            <w:rPr>
                              <w:sz w:val="18"/>
                              <w:szCs w:val="18"/>
                            </w:rPr>
                          </w:pPr>
                          <w:r>
                            <w:rPr>
                              <w:sz w:val="20"/>
                            </w:rPr>
                            <w:t xml:space="preserve"> </w:t>
                          </w:r>
                          <w:r>
                            <w:rPr>
                              <w:sz w:val="18"/>
                              <w:szCs w:val="18"/>
                            </w:rPr>
                            <w:t>Соответствуют предъявляемым</w:t>
                          </w:r>
                        </w:p>
                        <w:p w:rsidR="000203E9" w:rsidRDefault="000203E9">
                          <w:pPr>
                            <w:ind w:left="-567" w:right="-639"/>
                            <w:jc w:val="center"/>
                            <w:rPr>
                              <w:sz w:val="20"/>
                              <w:szCs w:val="24"/>
                            </w:rPr>
                          </w:pPr>
                          <w:r>
                            <w:rPr>
                              <w:sz w:val="20"/>
                            </w:rPr>
                            <w:t>требованиям</w:t>
                          </w:r>
                        </w:p>
                      </w:tc>
                    </w:tr>
                  </w:tbl>
                  <w:p w:rsidR="000203E9" w:rsidRDefault="000203E9" w:rsidP="000203E9">
                    <w:pPr>
                      <w:rPr>
                        <w:rFonts w:ascii="Times New Roman" w:hAnsi="Times New Roman"/>
                        <w:sz w:val="24"/>
                      </w:rPr>
                    </w:pPr>
                  </w:p>
                </w:txbxContent>
              </v:textbox>
            </v:shape>
            <v:shape id="AutoShape 8" o:spid="_x0000_s1032" type="#_x0000_t33" style="position:absolute;left:42405;top:4781;width:2432;height:48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tblPr>
                    <w:tblGrid>
                      <w:gridCol w:w="3811"/>
                    </w:tblGrid>
                    <w:tr w:rsidR="000203E9">
                      <w:trPr>
                        <w:tblCellSpacing w:w="0" w:type="dxa"/>
                      </w:trPr>
                      <w:tc>
                        <w:tcPr>
                          <w:tcW w:w="0" w:type="auto"/>
                          <w:vAlign w:val="center"/>
                          <w:hideMark/>
                        </w:tcPr>
                        <w:p w:rsidR="000203E9" w:rsidRDefault="000203E9">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c>
                    </w:tr>
                  </w:tbl>
                  <w:p w:rsidR="000203E9" w:rsidRDefault="000203E9" w:rsidP="000203E9">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tblPr>
                    <w:tblGrid>
                      <w:gridCol w:w="3708"/>
                    </w:tblGrid>
                    <w:tr w:rsidR="000203E9">
                      <w:trPr>
                        <w:tblCellSpacing w:w="0" w:type="dxa"/>
                      </w:trPr>
                      <w:tc>
                        <w:tcPr>
                          <w:tcW w:w="0" w:type="auto"/>
                          <w:vAlign w:val="center"/>
                          <w:hideMark/>
                        </w:tcPr>
                        <w:p w:rsidR="000203E9" w:rsidRDefault="000203E9">
                          <w:pPr>
                            <w:jc w:val="center"/>
                            <w:rPr>
                              <w:sz w:val="20"/>
                            </w:rPr>
                          </w:pPr>
                          <w:r>
                            <w:rPr>
                              <w:sz w:val="20"/>
                            </w:rPr>
                            <w:t>Вручение (направление) уведомления в получении документов</w:t>
                          </w:r>
                        </w:p>
                      </w:tc>
                    </w:tr>
                  </w:tbl>
                  <w:p w:rsidR="000203E9" w:rsidRDefault="000203E9" w:rsidP="000203E9">
                    <w:pPr>
                      <w:rPr>
                        <w:rFonts w:ascii="Times New Roman" w:hAnsi="Times New Roman"/>
                        <w:sz w:val="24"/>
                      </w:rPr>
                    </w:pPr>
                  </w:p>
                </w:txbxContent>
              </v:textbox>
            </v:rect>
            <v:rect id="Rectangle 12" o:spid="_x0000_s1036" style="position:absolute;left:15341;top:34893;width:2877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4243"/>
                    </w:tblGrid>
                    <w:tr w:rsidR="000203E9">
                      <w:trPr>
                        <w:tblCellSpacing w:w="0" w:type="dxa"/>
                      </w:trPr>
                      <w:tc>
                        <w:tcPr>
                          <w:tcW w:w="0" w:type="auto"/>
                          <w:vAlign w:val="center"/>
                          <w:hideMark/>
                        </w:tcPr>
                        <w:p w:rsidR="000203E9" w:rsidRDefault="000203E9">
                          <w:pPr>
                            <w:jc w:val="center"/>
                            <w:rPr>
                              <w:sz w:val="20"/>
                            </w:rPr>
                          </w:pPr>
                          <w:r>
                            <w:rPr>
                              <w:sz w:val="20"/>
                            </w:rPr>
                            <w:t>Рассмотрение представленных документов</w:t>
                          </w:r>
                        </w:p>
                      </w:tc>
                    </w:tr>
                  </w:tbl>
                  <w:p w:rsidR="000203E9" w:rsidRDefault="000203E9" w:rsidP="000203E9">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4243"/>
                    </w:tblGrid>
                    <w:tr w:rsidR="000203E9">
                      <w:trPr>
                        <w:tblCellSpacing w:w="0" w:type="dxa"/>
                      </w:trPr>
                      <w:tc>
                        <w:tcPr>
                          <w:tcW w:w="0" w:type="auto"/>
                          <w:vAlign w:val="center"/>
                          <w:hideMark/>
                        </w:tcPr>
                        <w:p w:rsidR="000203E9" w:rsidRDefault="000203E9">
                          <w:pPr>
                            <w:jc w:val="center"/>
                            <w:rPr>
                              <w:sz w:val="20"/>
                            </w:rPr>
                          </w:pPr>
                          <w:r>
                            <w:rPr>
                              <w:sz w:val="20"/>
                            </w:rPr>
                            <w:t>Наличие оснований для отказа в предоставлении муниципальной услуги</w:t>
                          </w:r>
                        </w:p>
                      </w:tc>
                    </w:tr>
                  </w:tbl>
                  <w:p w:rsidR="000203E9" w:rsidRDefault="000203E9" w:rsidP="000203E9">
                    <w:pPr>
                      <w:rPr>
                        <w:rFonts w:ascii="Times New Roman" w:hAnsi="Times New Roman"/>
                        <w:sz w:val="24"/>
                      </w:rPr>
                    </w:pPr>
                  </w:p>
                </w:txbxContent>
              </v:textbox>
            </v:rect>
            <v:shape id="AutoShape 15" o:spid="_x0000_s1039" type="#_x0000_t32" style="position:absolute;left:29730;top:37509;width:7;height:1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1356"/>
                    </w:tblGrid>
                    <w:tr w:rsidR="000203E9">
                      <w:trPr>
                        <w:tblCellSpacing w:w="0" w:type="dxa"/>
                      </w:trPr>
                      <w:tc>
                        <w:tcPr>
                          <w:tcW w:w="0" w:type="auto"/>
                          <w:vAlign w:val="center"/>
                          <w:hideMark/>
                        </w:tcPr>
                        <w:p w:rsidR="000203E9" w:rsidRDefault="000203E9">
                          <w:pPr>
                            <w:jc w:val="center"/>
                            <w:rPr>
                              <w:sz w:val="20"/>
                            </w:rPr>
                          </w:pPr>
                          <w:r>
                            <w:rPr>
                              <w:sz w:val="20"/>
                            </w:rPr>
                            <w:t>Имеются основания для отказа</w:t>
                          </w:r>
                        </w:p>
                      </w:tc>
                    </w:tr>
                  </w:tbl>
                  <w:p w:rsidR="000203E9" w:rsidRDefault="000203E9" w:rsidP="000203E9">
                    <w:pPr>
                      <w:rPr>
                        <w:rFonts w:ascii="Times New Roman" w:hAnsi="Times New Roman"/>
                        <w:sz w:val="24"/>
                      </w:rPr>
                    </w:pPr>
                  </w:p>
                </w:txbxContent>
              </v:textbox>
            </v:shape>
            <v:shape id="AutoShape 18" o:spid="_x0000_s1042" type="#_x0000_t110" style="position:absolute;left:35369;top:43154;width:19387;height:6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1390"/>
                    </w:tblGrid>
                    <w:tr w:rsidR="000203E9">
                      <w:trPr>
                        <w:tblCellSpacing w:w="0" w:type="dxa"/>
                      </w:trPr>
                      <w:tc>
                        <w:tcPr>
                          <w:tcW w:w="0" w:type="auto"/>
                          <w:vAlign w:val="center"/>
                          <w:hideMark/>
                        </w:tcPr>
                        <w:p w:rsidR="000203E9" w:rsidRDefault="000203E9">
                          <w:pPr>
                            <w:jc w:val="center"/>
                            <w:rPr>
                              <w:sz w:val="20"/>
                            </w:rPr>
                          </w:pPr>
                          <w:r>
                            <w:rPr>
                              <w:sz w:val="20"/>
                            </w:rPr>
                            <w:t>Отсутствуют основания для отказа</w:t>
                          </w:r>
                        </w:p>
                      </w:tc>
                    </w:tr>
                  </w:tbl>
                  <w:p w:rsidR="000203E9" w:rsidRDefault="000203E9" w:rsidP="000203E9">
                    <w:pPr>
                      <w:rPr>
                        <w:rFonts w:ascii="Times New Roman" w:hAnsi="Times New Roman"/>
                        <w:sz w:val="24"/>
                      </w:rPr>
                    </w:pPr>
                  </w:p>
                </w:txbxContent>
              </v:textbox>
            </v:shape>
            <v:shape id="AutoShape 19" o:spid="_x0000_s1043" type="#_x0000_t33" style="position:absolute;left:14268;top:40792;width:1073;height:236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3925"/>
                    </w:tblGrid>
                    <w:tr w:rsidR="000203E9">
                      <w:trPr>
                        <w:tblCellSpacing w:w="0" w:type="dxa"/>
                      </w:trPr>
                      <w:tc>
                        <w:tcPr>
                          <w:tcW w:w="0" w:type="auto"/>
                          <w:vAlign w:val="center"/>
                          <w:hideMark/>
                        </w:tcPr>
                        <w:p w:rsidR="000203E9" w:rsidRDefault="000203E9">
                          <w:pPr>
                            <w:jc w:val="center"/>
                            <w:rPr>
                              <w:sz w:val="20"/>
                            </w:rPr>
                          </w:pPr>
                          <w:r>
                            <w:rPr>
                              <w:sz w:val="20"/>
                            </w:rPr>
                            <w:t xml:space="preserve">Вручение (направление) заявителю уведомления об отказе включения ярмарки </w:t>
                          </w:r>
                        </w:p>
                        <w:p w:rsidR="000203E9" w:rsidRDefault="000203E9">
                          <w:pPr>
                            <w:jc w:val="center"/>
                            <w:rPr>
                              <w:sz w:val="20"/>
                            </w:rPr>
                          </w:pPr>
                          <w:r>
                            <w:rPr>
                              <w:sz w:val="20"/>
                            </w:rPr>
                            <w:t>в План проведения ярмарок</w:t>
                          </w:r>
                        </w:p>
                        <w:p w:rsidR="000203E9" w:rsidRDefault="000203E9">
                          <w:pPr>
                            <w:jc w:val="center"/>
                            <w:rPr>
                              <w:sz w:val="20"/>
                            </w:rPr>
                          </w:pPr>
                          <w:r>
                            <w:rPr>
                              <w:sz w:val="20"/>
                            </w:rPr>
                            <w:t>и постановления об отказе включении ярмарки в План проведения ярмарок</w:t>
                          </w:r>
                        </w:p>
                      </w:tc>
                    </w:tr>
                  </w:tbl>
                  <w:p w:rsidR="000203E9" w:rsidRDefault="000203E9" w:rsidP="000203E9">
                    <w:pPr>
                      <w:rPr>
                        <w:rFonts w:ascii="Times New Roman" w:hAnsi="Times New Roman"/>
                        <w:sz w:val="24"/>
                      </w:rPr>
                    </w:pPr>
                  </w:p>
                </w:txbxContent>
              </v:textbox>
            </v:rect>
            <v:rect id="Rectangle 22" o:spid="_x0000_s1046" style="position:absolute;left:31159;top:52787;width:27769;height:8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tblPr>
                    <w:tblGrid>
                      <w:gridCol w:w="4085"/>
                    </w:tblGrid>
                    <w:tr w:rsidR="000203E9">
                      <w:trPr>
                        <w:tblCellSpacing w:w="0" w:type="dxa"/>
                      </w:trPr>
                      <w:tc>
                        <w:tcPr>
                          <w:tcW w:w="0" w:type="auto"/>
                          <w:vAlign w:val="center"/>
                          <w:hideMark/>
                        </w:tcPr>
                        <w:p w:rsidR="000203E9" w:rsidRDefault="000203E9">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0203E9" w:rsidRDefault="000203E9" w:rsidP="000203E9">
                    <w:pPr>
                      <w:rPr>
                        <w:rFonts w:ascii="Times New Roman" w:hAnsi="Times New Roman"/>
                        <w:sz w:val="24"/>
                      </w:rPr>
                    </w:pPr>
                  </w:p>
                </w:txbxContent>
              </v:textbox>
            </v:rect>
            <v:shape id="AutoShape 23" o:spid="_x0000_s1047" type="#_x0000_t32" style="position:absolute;left:14077;top:50063;width:64;height:27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group>
        </w:pict>
      </w:r>
      <w:r w:rsidRPr="000203E9">
        <w:rPr>
          <w:rFonts w:ascii="Arial" w:eastAsia="Times New Roman" w:hAnsi="Arial" w:cs="Arial"/>
          <w:sz w:val="24"/>
          <w:szCs w:val="24"/>
          <w:lang w:eastAsia="ru-RU"/>
        </w:rPr>
        <w:t xml:space="preserve">предприниматели в план проведения  ярмарок» </w:t>
      </w:r>
      <w:r w:rsidR="00FC4ADA">
        <w:rPr>
          <w:rFonts w:ascii="Arial" w:eastAsia="Times New Roman" w:hAnsi="Arial" w:cs="Arial"/>
          <w:noProof/>
          <w:sz w:val="24"/>
          <w:szCs w:val="24"/>
          <w:lang w:eastAsia="ru-RU"/>
        </w:rPr>
      </w:r>
      <w:r w:rsidR="00FC4ADA">
        <w:rPr>
          <w:rFonts w:ascii="Arial" w:eastAsia="Times New Roman" w:hAnsi="Arial" w:cs="Arial"/>
          <w:noProof/>
          <w:sz w:val="24"/>
          <w:szCs w:val="24"/>
          <w:lang w:eastAsia="ru-RU"/>
        </w:rPr>
        <w:pict>
          <v:rect id="Прямоугольник 1" o:spid="_x0000_s1049" style="width:468pt;height:5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wrap type="none"/>
            <w10:anchorlock/>
          </v:rect>
        </w:pict>
      </w:r>
    </w:p>
    <w:p w:rsidR="00B72B6C" w:rsidRDefault="00B72B6C"/>
    <w:sectPr w:rsidR="00B72B6C" w:rsidSect="00FC4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3E8F"/>
    <w:rsid w:val="000203E9"/>
    <w:rsid w:val="000E3EB7"/>
    <w:rsid w:val="002068B2"/>
    <w:rsid w:val="004D0E3F"/>
    <w:rsid w:val="00632AC2"/>
    <w:rsid w:val="006405CC"/>
    <w:rsid w:val="00657A5D"/>
    <w:rsid w:val="0066094F"/>
    <w:rsid w:val="00B72B6C"/>
    <w:rsid w:val="00BC3080"/>
    <w:rsid w:val="00BE0FC7"/>
    <w:rsid w:val="00C14B40"/>
    <w:rsid w:val="00CE5830"/>
    <w:rsid w:val="00D2145D"/>
    <w:rsid w:val="00E2503E"/>
    <w:rsid w:val="00EB3E8F"/>
    <w:rsid w:val="00FC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8"/>
        <o:r id="V:Rule3" type="connector" idref="#AutoShape 10"/>
        <o:r id="V:Rule4" type="connector" idref="#AutoShape 13"/>
        <o:r id="V:Rule5" type="connector" idref="#AutoShape 15"/>
        <o:r id="V:Rule6" type="connector" idref="#AutoShape 16"/>
        <o:r id="V:Rule7" type="connector" idref="#AutoShape 19"/>
        <o:r id="V:Rule8" type="connector" idref="#AutoShape 20"/>
        <o:r id="V:Rule9" type="connector" idref="#AutoShape 23"/>
        <o:r id="V:Rule1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0203E9"/>
    <w:rPr>
      <w:rFonts w:ascii="Courier" w:hAnsi="Courier"/>
    </w:rPr>
  </w:style>
  <w:style w:type="paragraph" w:styleId="a4">
    <w:name w:val="annotation text"/>
    <w:aliases w:val="!Равноширинный текст документа"/>
    <w:basedOn w:val="a"/>
    <w:link w:val="a3"/>
    <w:semiHidden/>
    <w:unhideWhenUsed/>
    <w:rsid w:val="000203E9"/>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0203E9"/>
    <w:rPr>
      <w:sz w:val="20"/>
      <w:szCs w:val="20"/>
    </w:rPr>
  </w:style>
  <w:style w:type="paragraph" w:styleId="a5">
    <w:name w:val="List Paragraph"/>
    <w:basedOn w:val="a"/>
    <w:uiPriority w:val="34"/>
    <w:qFormat/>
    <w:rsid w:val="000203E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203E9"/>
    <w:rPr>
      <w:rFonts w:ascii="Arial" w:hAnsi="Arial" w:cs="Arial"/>
      <w:lang w:eastAsia="ar-SA"/>
    </w:rPr>
  </w:style>
  <w:style w:type="paragraph" w:customStyle="1" w:styleId="ConsPlusNormal0">
    <w:name w:val="ConsPlusNormal"/>
    <w:next w:val="a"/>
    <w:link w:val="ConsPlusNormal"/>
    <w:rsid w:val="000203E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203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203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203E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203E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0203E9"/>
    <w:rPr>
      <w:sz w:val="16"/>
      <w:szCs w:val="16"/>
    </w:rPr>
  </w:style>
  <w:style w:type="character" w:customStyle="1" w:styleId="FontStyle18">
    <w:name w:val="Font Style18"/>
    <w:rsid w:val="000203E9"/>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8603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8381</Words>
  <Characters>47772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2018-02-26T13:20:00Z</dcterms:created>
  <dcterms:modified xsi:type="dcterms:W3CDTF">2022-03-16T09:48:00Z</dcterms:modified>
</cp:coreProperties>
</file>