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февраля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                      №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.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598.0" w:type="dxa"/>
        <w:jc w:val="left"/>
        <w:tblInd w:w="-601.0" w:type="dxa"/>
        <w:tblLayout w:type="fixed"/>
        <w:tblLook w:val="0000"/>
      </w:tblPr>
      <w:tblGrid>
        <w:gridCol w:w="1560"/>
        <w:gridCol w:w="9038"/>
        <w:tblGridChange w:id="0">
          <w:tblGrid>
            <w:gridCol w:w="1560"/>
            <w:gridCol w:w="903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- 9407,5 тыс. рублей,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областной бюджет –    0,0  тыс. рублей;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местный бюджет – 9189,9 тыс. рублей;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2325,4 тыс. рублей,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2325,4 тыс. рублей;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–701,6 тыс. рублей,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–701,6 тыс. рублей;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752,6  тыс. рублей,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752,6 тыс.рублей,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0,0тыс. руб.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 </w:t>
      </w:r>
      <w:r w:rsidDel="00000000" w:rsidR="00000000" w:rsidRPr="00000000">
        <w:rPr>
          <w:sz w:val="24"/>
          <w:szCs w:val="24"/>
          <w:rtl w:val="0"/>
        </w:rPr>
        <w:t xml:space="preserve">9407,5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стати-стических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9404,8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,4</w:t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95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9"/>
      </w:pPr>
      <w:rPr>
        <w:b w:val="0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06u6oMqGgTxQuRmBBNSp9/kYw==">AMUW2mVe1nyo+Yo8XNOA8hWn9zyb5Z7tsvq83eVz0F1XyJFiJXWWgCX/w2hnATgritH/TZ+AgDqvshjJYSSQkSg1+XT0Dk+MQOlDMJ17u84+qg59B4PTImM=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