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296" w:rsidRPr="0027212A" w:rsidRDefault="009136DA" w:rsidP="00272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:rsidR="009136DA" w:rsidRPr="0027212A" w:rsidRDefault="0013561D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декабря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0D61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92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D61A6" w:rsidRDefault="009136DA" w:rsidP="000D6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D61A6" w:rsidRPr="000D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разрешения на осуществление </w:t>
      </w:r>
    </w:p>
    <w:p w:rsidR="009136DA" w:rsidRPr="00D4229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земляных работ</w:t>
      </w:r>
      <w:r w:rsidR="00D6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2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обеспечения  автоматизации процесса предоставления муниципальных услуг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61A6" w:rsidRPr="000D6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F5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61A6" w:rsidRPr="000D6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696272" w:rsidRPr="0069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официальном  сайте  а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 Урывского сельского поселения Острогожского  муниципального  района в сети Интернет в разделе «Муниципальные услуги».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Контроль  за  исполнением  настоящего  распоряжения  оставляю за собой.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296" w:rsidRPr="009136DA" w:rsidRDefault="00D42296" w:rsidP="007D2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200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B678DB">
      <w:pPr>
        <w:shd w:val="clear" w:color="auto" w:fill="FFFFFF"/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9136DA" w:rsidRPr="000D2E82" w:rsidRDefault="0013561D" w:rsidP="000D2E82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от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01.12.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2016 года  № </w:t>
      </w:r>
      <w:r w:rsidR="000D61A6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92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-р</w:t>
      </w:r>
      <w:r w:rsidR="000D2E82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    </w:t>
      </w:r>
    </w:p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D28" w:rsidRP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ТЕХНОЛОГИЧЕСКАЯ СХЕМА</w:t>
      </w:r>
    </w:p>
    <w:p w:rsid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D61A6" w:rsidRPr="000D61A6" w:rsidRDefault="000D61A6" w:rsidP="000D61A6">
      <w:pPr>
        <w:jc w:val="center"/>
      </w:pPr>
      <w:r w:rsidRPr="000D61A6">
        <w:rPr>
          <w:rFonts w:ascii="Times New Roman" w:hAnsi="Times New Roman" w:cs="Times New Roman"/>
          <w:b/>
        </w:rPr>
        <w:t>Предоставление разрешения на осуществление земляных работ</w:t>
      </w:r>
    </w:p>
    <w:p w:rsidR="000D61A6" w:rsidRPr="000D61A6" w:rsidRDefault="000D61A6" w:rsidP="000D61A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0D61A6">
        <w:rPr>
          <w:rFonts w:ascii="Times New Roman" w:eastAsia="Times New Roman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1"/>
        <w:tblW w:w="14567" w:type="dxa"/>
        <w:tblLook w:val="04A0" w:firstRow="1" w:lastRow="0" w:firstColumn="1" w:lastColumn="0" w:noHBand="0" w:noVBand="1"/>
      </w:tblPr>
      <w:tblGrid>
        <w:gridCol w:w="959"/>
        <w:gridCol w:w="5245"/>
        <w:gridCol w:w="8363"/>
      </w:tblGrid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D61A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D61A6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D61A6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D61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D61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D61A6">
              <w:rPr>
                <w:rFonts w:ascii="Times New Roman" w:hAnsi="Times New Roman"/>
                <w:b/>
              </w:rPr>
              <w:t>3</w:t>
            </w: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Урывского сельского поселения</w:t>
            </w: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Номер услуги в федеральном реестре</w:t>
            </w:r>
            <w:r w:rsidRPr="000D61A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rPr>
                <w:rFonts w:ascii="Times New Roman" w:hAnsi="Times New Roman"/>
              </w:rPr>
            </w:pPr>
            <w:bookmarkStart w:id="0" w:name="_GoBack"/>
            <w:r w:rsidRPr="000D61A6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  <w:bookmarkEnd w:id="0"/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0D61A6">
              <w:rPr>
                <w:rFonts w:ascii="Times New Roman" w:hAnsi="Times New Roman"/>
              </w:rPr>
              <w:t>и</w:t>
            </w:r>
            <w:r w:rsidRPr="000D61A6">
              <w:rPr>
                <w:rFonts w:ascii="Times New Roman" w:hAnsi="Times New Roman"/>
              </w:rPr>
              <w:t>ципальной услуги</w:t>
            </w:r>
            <w:r w:rsidRPr="000D61A6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№ 87 от 03.11.2016 г.</w:t>
            </w: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Перечень «</w:t>
            </w:r>
            <w:proofErr w:type="spellStart"/>
            <w:r w:rsidRPr="000D61A6">
              <w:rPr>
                <w:rFonts w:ascii="Times New Roman" w:hAnsi="Times New Roman"/>
              </w:rPr>
              <w:t>подуслуг</w:t>
            </w:r>
            <w:proofErr w:type="spellEnd"/>
            <w:r w:rsidRPr="000D61A6">
              <w:rPr>
                <w:rFonts w:ascii="Times New Roman" w:hAnsi="Times New Roman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0D61A6" w:rsidRPr="000D61A6" w:rsidTr="00872B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0D61A6">
              <w:rPr>
                <w:rFonts w:ascii="Times New Roman" w:hAnsi="Times New Roman"/>
              </w:rPr>
              <w:t>и</w:t>
            </w:r>
            <w:r w:rsidRPr="000D61A6">
              <w:rPr>
                <w:rFonts w:ascii="Times New Roman" w:hAnsi="Times New Roman"/>
              </w:rPr>
              <w:t>пальной услуги</w:t>
            </w:r>
            <w:r w:rsidRPr="000D61A6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радиотелефонная связь;</w:t>
            </w:r>
          </w:p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терминальные устройства в МФЦ;</w:t>
            </w:r>
          </w:p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официальный сайт органа;</w:t>
            </w:r>
          </w:p>
          <w:p w:rsidR="000D61A6" w:rsidRPr="000D61A6" w:rsidRDefault="000D61A6" w:rsidP="000D61A6">
            <w:pPr>
              <w:ind w:left="-102" w:right="-102"/>
              <w:rPr>
                <w:rFonts w:ascii="Times New Roman" w:hAnsi="Times New Roman"/>
              </w:rPr>
            </w:pPr>
            <w:r w:rsidRPr="000D61A6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D61A6" w:rsidRPr="000D61A6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0D61A6" w:rsidRPr="000D61A6" w:rsidTr="00872B43">
        <w:tc>
          <w:tcPr>
            <w:tcW w:w="1701" w:type="dxa"/>
            <w:gridSpan w:val="2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предоставлении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Осн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вания пр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ост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предоста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0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ост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предоста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544" w:type="dxa"/>
            <w:gridSpan w:val="3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ращения за получением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зультата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0D61A6" w:rsidRPr="000D61A6" w:rsidTr="00872B43"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че зая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по месту ж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ства (м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сту нахождения 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юр.лица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1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че зая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не по месту ж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ства </w:t>
            </w: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( по месту 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щ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ния)</w:t>
            </w:r>
          </w:p>
        </w:tc>
        <w:tc>
          <w:tcPr>
            <w:tcW w:w="1951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зиты норм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тивного правов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го акта, явля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щегося основ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нием для взим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взимания платы (госуда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61A6" w:rsidRPr="000D61A6" w:rsidTr="00872B43"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D61A6" w:rsidRPr="000D61A6" w:rsidTr="00872B43">
        <w:tc>
          <w:tcPr>
            <w:tcW w:w="15276" w:type="dxa"/>
            <w:gridSpan w:val="11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20 раб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чих дней</w:t>
            </w:r>
          </w:p>
        </w:tc>
        <w:tc>
          <w:tcPr>
            <w:tcW w:w="851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бочих дней</w:t>
            </w:r>
          </w:p>
        </w:tc>
        <w:tc>
          <w:tcPr>
            <w:tcW w:w="1951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-нарушение требований к оформлению документов;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- представление документов в ненадлежащий орган;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D61A6">
              <w:rPr>
                <w:rFonts w:ascii="Times New Roman" w:eastAsia="Calibri" w:hAnsi="Times New Roman" w:cs="Times New Roman"/>
              </w:rPr>
              <w:t>подача заявл</w:t>
            </w:r>
            <w:r w:rsidRPr="000D61A6">
              <w:rPr>
                <w:rFonts w:ascii="Times New Roman" w:eastAsia="Calibri" w:hAnsi="Times New Roman" w:cs="Times New Roman"/>
              </w:rPr>
              <w:t>е</w:t>
            </w:r>
            <w:r w:rsidRPr="000D61A6">
              <w:rPr>
                <w:rFonts w:ascii="Times New Roman" w:eastAsia="Calibri" w:hAnsi="Times New Roman" w:cs="Times New Roman"/>
              </w:rPr>
              <w:t xml:space="preserve">ния лицом, не </w:t>
            </w:r>
            <w:r w:rsidRPr="000D61A6">
              <w:rPr>
                <w:rFonts w:ascii="Times New Roman" w:eastAsia="Calibri" w:hAnsi="Times New Roman" w:cs="Times New Roman"/>
              </w:rPr>
              <w:lastRenderedPageBreak/>
              <w:t>уполномоченным совершать такого рода действия.</w:t>
            </w:r>
          </w:p>
        </w:tc>
        <w:tc>
          <w:tcPr>
            <w:tcW w:w="3260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1"/>
                <w:szCs w:val="21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sz w:val="21"/>
                <w:szCs w:val="21"/>
                <w:lang w:eastAsia="x-none"/>
              </w:rPr>
              <w:lastRenderedPageBreak/>
              <w:t>П</w:t>
            </w:r>
            <w:proofErr w:type="spellStart"/>
            <w:r w:rsidRPr="000D61A6">
              <w:rPr>
                <w:rFonts w:ascii="Times New Roman" w:eastAsia="SimSun" w:hAnsi="Times New Roman" w:cs="Times New Roman"/>
                <w:sz w:val="21"/>
                <w:szCs w:val="21"/>
                <w:lang w:val="x-none" w:eastAsia="x-none"/>
              </w:rPr>
              <w:t>ри</w:t>
            </w:r>
            <w:proofErr w:type="spellEnd"/>
            <w:r w:rsidRPr="000D61A6">
              <w:rPr>
                <w:rFonts w:ascii="Times New Roman" w:eastAsia="SimSun" w:hAnsi="Times New Roman" w:cs="Times New Roman"/>
                <w:sz w:val="21"/>
                <w:szCs w:val="21"/>
                <w:lang w:val="x-none" w:eastAsia="x-none"/>
              </w:rPr>
              <w:t xml:space="preserve"> наличии хотя бы одного из следующих оснований: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</w:pP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-отсутствие полного пакета документов;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</w:pP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-</w:t>
            </w: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получение ответа государственных органов об отсутствии в их распоряжении документов (их копий или сведений, содержащихся в них), если заявитель не представил их самостоятельно.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lastRenderedPageBreak/>
              <w:t xml:space="preserve">- </w:t>
            </w: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0D61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x-none" w:eastAsia="x-none"/>
              </w:rPr>
              <w:t>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</w:pPr>
            <w:r w:rsidRPr="000D61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x-none" w:eastAsia="x-none"/>
              </w:rPr>
              <w:t>-</w:t>
            </w: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 xml:space="preserve"> </w:t>
            </w: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</w:pP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 xml:space="preserve">- </w:t>
            </w: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</w:pP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-</w:t>
            </w: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 xml:space="preserve"> </w:t>
            </w: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</w:pP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-</w:t>
            </w: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 xml:space="preserve"> </w:t>
            </w:r>
            <w:r w:rsidRPr="000D61A6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0D61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D61A6">
              <w:rPr>
                <w:rFonts w:ascii="Times New Roman" w:eastAsia="Calibri" w:hAnsi="Times New Roman" w:cs="Times New Roman"/>
                <w:sz w:val="21"/>
                <w:szCs w:val="21"/>
              </w:rPr>
              <w:t>отопительный сезон.</w:t>
            </w:r>
          </w:p>
        </w:tc>
        <w:tc>
          <w:tcPr>
            <w:tcW w:w="85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нет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нет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орган на бумажном 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сителе; </w:t>
            </w:r>
          </w:p>
          <w:p w:rsidR="000D61A6" w:rsidRPr="000D61A6" w:rsidRDefault="000D61A6" w:rsidP="000D61A6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посредством почтовой связи в орган;</w:t>
            </w:r>
          </w:p>
          <w:p w:rsidR="000D61A6" w:rsidRPr="000D61A6" w:rsidRDefault="000D61A6" w:rsidP="000D61A6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МФЦ на бумажном 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сителе</w:t>
            </w: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виде б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мажного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кумента непосре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ственно при личном 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ращении в администр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цию или МФЦ;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 виде б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мажного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кумента, п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средством почтового отправления </w:t>
            </w:r>
          </w:p>
        </w:tc>
      </w:tr>
    </w:tbl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0D61A6" w:rsidRPr="000D61A6" w:rsidTr="00872B43">
        <w:trPr>
          <w:trHeight w:val="416"/>
        </w:trPr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ющих право на пол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чение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ющий правомочие з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 соответству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щей категории на пол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чение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документу, 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тверждающему прав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мочие заявителя соо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ветствующей категории на получение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возможности подачи зая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ления на предоста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 представ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телями з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  <w:tc>
          <w:tcPr>
            <w:tcW w:w="141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Исчерп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вающий перечень лиц, им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ющих пр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во на под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чу заявл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 от им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 заявит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документа, 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тверждающего право подачи заявления от имени заявит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менту, подтвержд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ющему право под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чи заявления от имени заявителя</w:t>
            </w:r>
          </w:p>
        </w:tc>
      </w:tr>
      <w:tr w:rsidR="000D61A6" w:rsidRPr="000D61A6" w:rsidTr="00872B43">
        <w:trPr>
          <w:trHeight w:val="236"/>
        </w:trPr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D61A6" w:rsidRPr="000D61A6" w:rsidTr="00872B43">
        <w:trPr>
          <w:trHeight w:val="236"/>
        </w:trPr>
        <w:tc>
          <w:tcPr>
            <w:tcW w:w="15417" w:type="dxa"/>
            <w:gridSpan w:val="8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rPr>
          <w:trHeight w:val="1834"/>
        </w:trPr>
        <w:tc>
          <w:tcPr>
            <w:tcW w:w="534" w:type="dxa"/>
            <w:vMerge w:val="restart"/>
          </w:tcPr>
          <w:p w:rsidR="000D61A6" w:rsidRPr="000D61A6" w:rsidRDefault="000D61A6" w:rsidP="000D61A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Ф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изические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лица</w:t>
            </w:r>
          </w:p>
        </w:tc>
        <w:tc>
          <w:tcPr>
            <w:tcW w:w="2693" w:type="dxa"/>
            <w:vMerge w:val="restart"/>
          </w:tcPr>
          <w:p w:rsidR="000D61A6" w:rsidRPr="000D61A6" w:rsidRDefault="000D61A6" w:rsidP="000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Положения о паспорте гражданина РФ.  Должен быть действ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обращ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за предоставлением услуги. Не должен с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держать подчисток, пр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Лицо, над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ленное з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явителем соотве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ствующими полномоч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ями в силу закона,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говора или доверенн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стью</w:t>
            </w: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Должен быть изг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товлен на официал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ном бланке и соо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ветствовать устано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о паспорте гра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данина РФ.  Должен быть действител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ным на дату  обр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щения за предоста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0D61A6" w:rsidRPr="000D61A6" w:rsidTr="00872B43">
        <w:trPr>
          <w:trHeight w:val="1022"/>
        </w:trPr>
        <w:tc>
          <w:tcPr>
            <w:tcW w:w="534" w:type="dxa"/>
            <w:vMerge/>
          </w:tcPr>
          <w:p w:rsidR="000D61A6" w:rsidRPr="000D61A6" w:rsidRDefault="000D61A6" w:rsidP="000D61A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  <w:vMerge/>
          </w:tcPr>
          <w:p w:rsidR="000D61A6" w:rsidRPr="000D61A6" w:rsidRDefault="000D61A6" w:rsidP="000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Доверенность дол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на быть выдана от имени заявителя и подписана им самим. Доверенность может быть подписана та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же иным лицом, де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ствующим по дов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ренности если эти полномочия пред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смотрены основной доверенностью. 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веренность должна быть действующей на момент обращ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(при этом нео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ходимо иметь в виду, что доверенность, в которой не указан срок ее действия, действительна в 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чение одного года с момента ее выдачи)</w:t>
            </w:r>
          </w:p>
        </w:tc>
      </w:tr>
      <w:tr w:rsidR="000D61A6" w:rsidRPr="000D61A6" w:rsidTr="00872B43">
        <w:trPr>
          <w:trHeight w:val="1021"/>
        </w:trPr>
        <w:tc>
          <w:tcPr>
            <w:tcW w:w="534" w:type="dxa"/>
            <w:vMerge/>
          </w:tcPr>
          <w:p w:rsidR="000D61A6" w:rsidRPr="000D61A6" w:rsidRDefault="000D61A6" w:rsidP="000D61A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  <w:vMerge/>
          </w:tcPr>
          <w:p w:rsidR="000D61A6" w:rsidRPr="000D61A6" w:rsidRDefault="000D61A6" w:rsidP="000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Иной документ, подтвержда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щий полномочия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Должен быть де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ствительным на срок обращения за пред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вреждений, наличие которых не позволяет однозначно истолк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вать их содержание</w:t>
            </w:r>
          </w:p>
        </w:tc>
      </w:tr>
      <w:tr w:rsidR="000D61A6" w:rsidRPr="000D61A6" w:rsidTr="00872B43">
        <w:trPr>
          <w:trHeight w:val="988"/>
        </w:trPr>
        <w:tc>
          <w:tcPr>
            <w:tcW w:w="534" w:type="dxa"/>
            <w:vMerge w:val="restart"/>
          </w:tcPr>
          <w:p w:rsidR="000D61A6" w:rsidRPr="000D61A6" w:rsidRDefault="000D61A6" w:rsidP="000D61A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Ю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ридические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лица (за исключением государственных органов и их территориальных органов, органов государственных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ющий право лица без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Решение о назначении лица или его избрании должна быть заверена юридическим лицом, с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держать подпись дол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ностного лица, подгот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вившего документ, дату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составления документа; информацию о праве ф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зического лица действ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1418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Лицо, де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ствующее от имени з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явителя на основании доверенн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Должен быть изг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товлен на официал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ном бланке и соо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ветствовать устано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о паспорте гра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данина РФ.  Должен быть действител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ным на дату  обр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щения за предоста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0D61A6" w:rsidRPr="000D61A6" w:rsidTr="00872B43">
        <w:trPr>
          <w:trHeight w:val="988"/>
        </w:trPr>
        <w:tc>
          <w:tcPr>
            <w:tcW w:w="534" w:type="dxa"/>
            <w:vMerge/>
          </w:tcPr>
          <w:p w:rsidR="000D61A6" w:rsidRPr="000D61A6" w:rsidRDefault="000D61A6" w:rsidP="000D61A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693" w:type="dxa"/>
          </w:tcPr>
          <w:p w:rsidR="000D61A6" w:rsidRPr="000D61A6" w:rsidRDefault="000D61A6" w:rsidP="000D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щий личность</w:t>
            </w: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Положения о паспорте гражданина РФ.  Должен быть действ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обращ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за предоставлением услуги. Не должен с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держать подчисток, пр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26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Доверенность выд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ется за подписью 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ководителя или 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го лица, уполном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ченного на это.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веренность может быть подписана та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же иным лицом, де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ствующим по дов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ренности.  Довере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ность должна быть действующей на м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 обращения (при этом необходимо иметь в виду, что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веренность, в кот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рой не указан срок ее действия, действ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тельна в течение 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ного года с момента ее выдачи).</w:t>
            </w:r>
          </w:p>
        </w:tc>
      </w:tr>
    </w:tbl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0D61A6" w:rsidRPr="000D61A6" w:rsidTr="00872B43">
        <w:trPr>
          <w:trHeight w:val="1935"/>
        </w:trPr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рые представляет заявитель для получения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ник/копия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пред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ставляемый по условию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 к документу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та/заполнения документа</w:t>
            </w:r>
          </w:p>
        </w:tc>
      </w:tr>
      <w:tr w:rsidR="000D61A6" w:rsidRPr="000D61A6" w:rsidTr="00872B43"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D61A6" w:rsidRPr="000D61A6" w:rsidTr="00872B43">
        <w:tc>
          <w:tcPr>
            <w:tcW w:w="15275" w:type="dxa"/>
            <w:gridSpan w:val="8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rPr>
          <w:trHeight w:val="6107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 подли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ник (формир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вание дела)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Обязательно указываются: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Прилож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ние №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0D61A6" w:rsidRPr="000D61A6" w:rsidTr="00872B43">
        <w:trPr>
          <w:trHeight w:val="278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удостовер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ющего ли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ность заяв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теля либо представит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ля заявителя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-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паспорта гражданина РФ </w:t>
            </w:r>
          </w:p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- 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ино</w:t>
            </w: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й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документ, удостоверяющ</w:t>
            </w: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ий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личность 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экз. копия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3397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приказ о назначении ответственн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го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приказ о назначении ответственного за производство работ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разборчивое написание текста документа шариковой, 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гелевой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ручкой или при помощи средств электронно-вычислительной техники;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указание фамилии, имени, отчества заявителя (наим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нования юридического 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ца), его места жительства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(места нахождения), тел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фона без сокращений.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1129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арантийное письмо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г</w:t>
            </w:r>
            <w:proofErr w:type="spellStart"/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арантийное</w:t>
            </w:r>
            <w:proofErr w:type="spellEnd"/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2546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проект на строител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ство, реко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струкцию инженерных сетей и об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ъ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ектов инфр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структуры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п</w:t>
            </w:r>
            <w:proofErr w:type="spellStart"/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роект</w:t>
            </w:r>
            <w:proofErr w:type="spellEnd"/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Calibri" w:hAnsi="Times New Roman" w:cs="Times New Roman"/>
                <w:lang w:eastAsia="x-none"/>
              </w:rPr>
              <w:t xml:space="preserve">Проект должен быть 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согласован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1108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карта с об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значением места прои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водства работ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карт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>а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При ремонте инж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нерных сетей и объектов инфр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структуры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1563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рафик 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полнения 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бот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Г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Calibri" w:hAnsi="Times New Roman" w:cs="Times New Roman"/>
                <w:lang w:eastAsia="x-none"/>
              </w:rPr>
              <w:t>Должны быть указаны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даты начала и окончания работ с учетом восстановления нарушенного благоустройства в пределах запрашиваемого срока на выдачу разрешения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>.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1543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Схема дв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жения тран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порта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Схема движения транспорта и пешеходов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в случае если пр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изводство земляных работ требует 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менения существ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ющей схемы дв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3397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договор со специализ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рованной 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ганизацией по восстановл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нию доро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ных покр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тий и благ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устройства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догово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>р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со специализированной организацией по восстановлению дорожных покрытий и благоустройства с указанием графика и сроков выполнения работ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в случаях, когда проводимые земл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ные работы повл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кут вскрытие или повреждение д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рожного покрытия и (или) работы по восстановлению дорожных покр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тий и благоустро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ства будут выпо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няться силами иных лиц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0D61A6" w:rsidRPr="000D61A6" w:rsidTr="00872B43">
        <w:trPr>
          <w:trHeight w:val="1837"/>
        </w:trPr>
        <w:tc>
          <w:tcPr>
            <w:tcW w:w="534" w:type="dxa"/>
          </w:tcPr>
          <w:p w:rsidR="000D61A6" w:rsidRPr="000D61A6" w:rsidRDefault="000D61A6" w:rsidP="000D61A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Согласование схемы дв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жения тран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порта</w:t>
            </w:r>
          </w:p>
        </w:tc>
        <w:tc>
          <w:tcPr>
            <w:tcW w:w="3685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Согласование схемы движения транспорта и пешеходов с ОГИБДД УМВД России по 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>муниципальному району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Calibri" w:hAnsi="Times New Roman" w:cs="Times New Roman"/>
                <w:lang w:eastAsia="ru-RU"/>
              </w:rPr>
              <w:t>в случае если пр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изводство земляных работ требует 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менения существ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ющей схемы дв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Calibri" w:hAnsi="Times New Roman" w:cs="Times New Roman"/>
                <w:lang w:eastAsia="ru-RU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</w:tbl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t>О</w:t>
      </w: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t>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0D61A6" w:rsidRPr="000D61A6" w:rsidTr="00872B43">
        <w:trPr>
          <w:trHeight w:val="2287"/>
        </w:trPr>
        <w:tc>
          <w:tcPr>
            <w:tcW w:w="124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Реквиз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ты акт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альной технол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гической карты межв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взаим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запр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и состав сведений, запраш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вание 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гана (о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ганиз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ции), напра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ляющего (ей) ме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ведо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в адрес которого (ой) направл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тро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ного се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виса / наименов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ние вида св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ний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ществления межведо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информац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онного вза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модействия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межведо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запроса и ответа на межведо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заполнения формы межведо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запроса и ответа на межведо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</w:p>
        </w:tc>
      </w:tr>
      <w:tr w:rsidR="000D61A6" w:rsidRPr="000D61A6" w:rsidTr="00872B43">
        <w:trPr>
          <w:trHeight w:val="232"/>
        </w:trPr>
        <w:tc>
          <w:tcPr>
            <w:tcW w:w="124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D61A6" w:rsidRPr="000D61A6" w:rsidTr="00872B43">
        <w:trPr>
          <w:trHeight w:val="232"/>
        </w:trPr>
        <w:tc>
          <w:tcPr>
            <w:tcW w:w="15275" w:type="dxa"/>
            <w:gridSpan w:val="9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c>
          <w:tcPr>
            <w:tcW w:w="124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Выписка из ЕГРП</w:t>
            </w:r>
          </w:p>
        </w:tc>
        <w:tc>
          <w:tcPr>
            <w:tcW w:w="2268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SimSun" w:hAnsi="Times New Roman" w:cs="Times New Roman"/>
                <w:lang w:eastAsia="x-none"/>
              </w:rPr>
              <w:t>В</w:t>
            </w:r>
            <w:proofErr w:type="spellStart"/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ыписк</w:t>
            </w:r>
            <w:r w:rsidRPr="000D61A6">
              <w:rPr>
                <w:rFonts w:ascii="Times New Roman" w:eastAsia="SimSun" w:hAnsi="Times New Roman" w:cs="Times New Roman"/>
                <w:lang w:eastAsia="x-none"/>
              </w:rPr>
              <w:t>а</w:t>
            </w:r>
            <w:proofErr w:type="spellEnd"/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земельный участок на котором планируется проведение земляных работ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страция муниц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пального образов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1A6" w:rsidRPr="000D61A6" w:rsidTr="00872B43">
        <w:tc>
          <w:tcPr>
            <w:tcW w:w="124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Выписка из ЕГРЮЛ</w:t>
            </w:r>
          </w:p>
        </w:tc>
        <w:tc>
          <w:tcPr>
            <w:tcW w:w="2268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Выписка из Единого государственного реестра юридических лиц о регистрации 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страция муниц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пального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1A6" w:rsidRPr="000D61A6" w:rsidTr="00872B43">
        <w:tc>
          <w:tcPr>
            <w:tcW w:w="124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Выписка из ЕГРИП</w:t>
            </w:r>
          </w:p>
        </w:tc>
        <w:tc>
          <w:tcPr>
            <w:tcW w:w="2268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eastAsia="x-none"/>
              </w:rPr>
              <w:t>В</w:t>
            </w:r>
            <w:proofErr w:type="spellStart"/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ыписк</w:t>
            </w:r>
            <w:r w:rsidRPr="000D61A6">
              <w:rPr>
                <w:rFonts w:ascii="Times New Roman" w:eastAsia="SimSun" w:hAnsi="Times New Roman" w:cs="Times New Roman"/>
                <w:lang w:eastAsia="x-none"/>
              </w:rPr>
              <w:t>а</w:t>
            </w:r>
            <w:proofErr w:type="spellEnd"/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0D61A6">
              <w:rPr>
                <w:rFonts w:ascii="Times New Roman" w:eastAsia="SimSun" w:hAnsi="Times New Roman" w:cs="Times New Roman"/>
                <w:lang w:eastAsia="x-none"/>
              </w:rPr>
              <w:t>.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страция муниц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пального образов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1A6" w:rsidRPr="000D61A6" w:rsidTr="00872B43">
        <w:tc>
          <w:tcPr>
            <w:tcW w:w="124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/>
              </w:rPr>
              <w:t>схем</w:t>
            </w:r>
            <w:r w:rsidRPr="000D61A6">
              <w:rPr>
                <w:rFonts w:ascii="Times New Roman" w:eastAsia="Calibri" w:hAnsi="Times New Roman" w:cs="Times New Roman"/>
              </w:rPr>
              <w:t>а</w:t>
            </w:r>
            <w:r w:rsidRPr="000D61A6">
              <w:rPr>
                <w:rFonts w:ascii="Times New Roman" w:eastAsia="Calibri" w:hAnsi="Times New Roman" w:cs="Times New Roman"/>
                <w:lang w:val="x-none"/>
              </w:rPr>
              <w:t xml:space="preserve"> движения транспорта и пешех</w:t>
            </w:r>
            <w:r w:rsidRPr="000D61A6">
              <w:rPr>
                <w:rFonts w:ascii="Times New Roman" w:eastAsia="Calibri" w:hAnsi="Times New Roman" w:cs="Times New Roman"/>
                <w:lang w:val="x-none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val="x-none"/>
              </w:rPr>
              <w:t>дов</w:t>
            </w:r>
            <w:r w:rsidRPr="000D61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0D61A6">
              <w:rPr>
                <w:rFonts w:ascii="Times New Roman" w:eastAsia="Calibri" w:hAnsi="Times New Roman" w:cs="Times New Roman"/>
                <w:lang w:val="x-none"/>
              </w:rPr>
              <w:t>огласование</w:t>
            </w:r>
            <w:proofErr w:type="spellEnd"/>
            <w:r w:rsidRPr="000D61A6">
              <w:rPr>
                <w:rFonts w:ascii="Times New Roman" w:eastAsia="Calibri" w:hAnsi="Times New Roman" w:cs="Times New Roman"/>
                <w:lang w:val="x-none"/>
              </w:rPr>
              <w:t xml:space="preserve"> схемы движения транспорта и пешеходов</w:t>
            </w:r>
            <w:r w:rsidRPr="000D61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страция муниц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пального образов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 xml:space="preserve">ОГИБДД УМВД России по 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 xml:space="preserve">муниципальному </w:t>
            </w:r>
            <w:proofErr w:type="spellStart"/>
            <w:r w:rsidRPr="000D61A6">
              <w:rPr>
                <w:rFonts w:ascii="Times New Roman" w:eastAsia="Calibri" w:hAnsi="Times New Roman" w:cs="Times New Roman"/>
                <w:lang w:eastAsia="x-none"/>
              </w:rPr>
              <w:t>ай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>о</w:t>
            </w:r>
            <w:r w:rsidRPr="000D61A6">
              <w:rPr>
                <w:rFonts w:ascii="Times New Roman" w:eastAsia="Calibri" w:hAnsi="Times New Roman" w:cs="Times New Roman"/>
                <w:lang w:eastAsia="x-none"/>
              </w:rPr>
              <w:t>ну</w:t>
            </w:r>
            <w:proofErr w:type="spellEnd"/>
          </w:p>
        </w:tc>
        <w:tc>
          <w:tcPr>
            <w:tcW w:w="85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0D61A6" w:rsidRPr="000D61A6" w:rsidTr="00872B43">
        <w:trPr>
          <w:trHeight w:val="1559"/>
        </w:trPr>
        <w:tc>
          <w:tcPr>
            <w:tcW w:w="534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том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менту/документам,  являющимся резул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татом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стика резул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тата (полож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ный/отрицательны)</w:t>
            </w:r>
          </w:p>
        </w:tc>
        <w:tc>
          <w:tcPr>
            <w:tcW w:w="1559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щихся 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«подуслуги»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ющихся результ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том «по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услуги»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результ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тов</w:t>
            </w:r>
            <w:r w:rsidRPr="000D61A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</w:tr>
      <w:tr w:rsidR="000D61A6" w:rsidRPr="000D61A6" w:rsidTr="00872B43">
        <w:trPr>
          <w:trHeight w:val="377"/>
        </w:trPr>
        <w:tc>
          <w:tcPr>
            <w:tcW w:w="534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0D61A6" w:rsidRPr="000D61A6" w:rsidTr="00872B43"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D61A6" w:rsidRPr="000D61A6" w:rsidTr="00872B43">
        <w:tc>
          <w:tcPr>
            <w:tcW w:w="15418" w:type="dxa"/>
            <w:gridSpan w:val="9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rPr>
          <w:trHeight w:val="70"/>
        </w:trPr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Р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азрешени</w:t>
            </w: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е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на осуществление земляных работ.</w:t>
            </w:r>
          </w:p>
        </w:tc>
        <w:tc>
          <w:tcPr>
            <w:tcW w:w="2410" w:type="dxa"/>
          </w:tcPr>
          <w:p w:rsidR="000D61A6" w:rsidRPr="000D61A6" w:rsidRDefault="000D61A6" w:rsidP="000D61A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мент, даты составл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документа, печати организации, выда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шей документ. Отсу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нечита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мых символов.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Положител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418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мента непосредственно при личном обращении в администрацию или МФЦ;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мента, посредством по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тового отправления 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1A6" w:rsidRPr="000D61A6" w:rsidTr="00872B43">
        <w:trPr>
          <w:trHeight w:val="703"/>
        </w:trPr>
        <w:tc>
          <w:tcPr>
            <w:tcW w:w="53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0D61A6" w:rsidRPr="000D61A6" w:rsidRDefault="000D61A6" w:rsidP="000D61A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мент, даты составл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документа, печати организации, выда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шей документ. Отсу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нечита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мых символов.</w:t>
            </w:r>
          </w:p>
        </w:tc>
        <w:tc>
          <w:tcPr>
            <w:tcW w:w="1701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Отрицател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55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418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2694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мента непосредственно при личном обращении в администрацию или МФЦ;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мента, посредством по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тового отправления 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61A6" w:rsidRPr="000D61A6" w:rsidRDefault="000D61A6" w:rsidP="000D61A6">
      <w:pPr>
        <w:tabs>
          <w:tab w:val="left" w:pos="-142"/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61A6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0D61A6" w:rsidRPr="000D61A6" w:rsidTr="00872B43">
        <w:tc>
          <w:tcPr>
            <w:tcW w:w="52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3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процедуры пр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цесса</w:t>
            </w:r>
          </w:p>
        </w:tc>
        <w:tc>
          <w:tcPr>
            <w:tcW w:w="595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нения процед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ры (процесса)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Испо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нитель проц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дуры процесса</w:t>
            </w:r>
          </w:p>
        </w:tc>
        <w:tc>
          <w:tcPr>
            <w:tcW w:w="184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ментов, нео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ходимых для выполнения процедуры процесса</w:t>
            </w:r>
          </w:p>
        </w:tc>
      </w:tr>
      <w:tr w:rsidR="000D61A6" w:rsidRPr="000D61A6" w:rsidTr="00872B43">
        <w:tc>
          <w:tcPr>
            <w:tcW w:w="529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6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D61A6" w:rsidRPr="000D61A6" w:rsidTr="00872B43">
        <w:tc>
          <w:tcPr>
            <w:tcW w:w="15204" w:type="dxa"/>
            <w:gridSpan w:val="7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rPr>
          <w:trHeight w:val="703"/>
        </w:trPr>
        <w:tc>
          <w:tcPr>
            <w:tcW w:w="52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Прием и регистрация заявления с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комплектом документов</w:t>
            </w:r>
          </w:p>
        </w:tc>
        <w:tc>
          <w:tcPr>
            <w:tcW w:w="595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- устанавливается предмет обращения, личность заявителя;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проверяются полномочия заявителя, в том числе полномочия представителя заявителя действовать от его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имени, полномочия представителя юридического лица действовать от имени юридического лица;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проверяется соответствие заявления требованиям, установленного образца;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zh-CN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проверяется наличие или отсутствие оснований для отказа в приеме документов;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zh-CN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0D61A6">
              <w:rPr>
                <w:rFonts w:ascii="Times New Roman" w:eastAsia="SimSun" w:hAnsi="Times New Roman" w:cs="Times New Roman"/>
                <w:lang w:val="x-none" w:eastAsia="zh-CN"/>
              </w:rPr>
              <w:t>выдается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vertAlign w:val="superscript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страции, МФЦ</w:t>
            </w:r>
          </w:p>
        </w:tc>
        <w:tc>
          <w:tcPr>
            <w:tcW w:w="184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Правовое, те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кументационное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</w:t>
            </w:r>
          </w:p>
        </w:tc>
        <w:tc>
          <w:tcPr>
            <w:tcW w:w="1776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</w:p>
        </w:tc>
      </w:tr>
      <w:tr w:rsidR="000D61A6" w:rsidRPr="000D61A6" w:rsidTr="00872B43">
        <w:trPr>
          <w:trHeight w:val="562"/>
        </w:trPr>
        <w:tc>
          <w:tcPr>
            <w:tcW w:w="52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31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Ис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требование документов (сведений) в рамках 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межведомственного взаимодействия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В случае необходимости в рамках межведомственного взаимодействия запрашиваются: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а) в Управлении Федеральной службы государственной 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регистрации, кадастра и картографии по Воронежской области: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земельный участок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,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на котором планируется проведение земляных работ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б) в Управлении Федеральной налоговой службы по Воронежской области: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в) </w:t>
            </w:r>
            <w:r w:rsidRPr="000D61A6">
              <w:rPr>
                <w:rFonts w:ascii="Times New Roman" w:eastAsia="Calibri" w:hAnsi="Times New Roman" w:cs="Times New Roman"/>
                <w:lang w:val="x-none"/>
              </w:rPr>
              <w:t>направляет</w:t>
            </w:r>
            <w:r w:rsidRPr="000D61A6">
              <w:rPr>
                <w:rFonts w:ascii="Times New Roman" w:eastAsia="Calibri" w:hAnsi="Times New Roman" w:cs="Times New Roman"/>
                <w:lang w:val="x-none" w:eastAsia="x-none"/>
              </w:rPr>
              <w:t>ся</w:t>
            </w:r>
            <w:r w:rsidRPr="000D61A6">
              <w:rPr>
                <w:rFonts w:ascii="Times New Roman" w:eastAsia="Calibri" w:hAnsi="Times New Roman" w:cs="Times New Roman"/>
                <w:lang w:val="x-none"/>
              </w:rPr>
              <w:t xml:space="preserve"> запрос на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0D61A6">
              <w:rPr>
                <w:rFonts w:ascii="Times New Roman" w:eastAsia="Calibri" w:hAnsi="Times New Roman" w:cs="Times New Roman"/>
                <w:lang w:val="x-none"/>
              </w:rPr>
              <w:t xml:space="preserve">согласование схемы движения транспорта и пешеходов с ОГИБДД УМВД России 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При наличии оснований подготавливается проект мотивированного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отказа в предоставлении муниципальной услуги по указанным основаниям.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об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отказе в предоставлении муниципальной услуги.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При отсутствии 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оснований подготавливается проект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Решения о предоставлении разрешения на осуществление земляных работ по форме.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>Подготовленный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 проект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</w:t>
            </w:r>
            <w:r w:rsidRPr="000D61A6">
              <w:rPr>
                <w:rFonts w:ascii="Times New Roman" w:eastAsia="Times New Roman" w:hAnsi="Times New Roman" w:cs="Times New Roman"/>
                <w:lang w:val="x-none" w:eastAsia="ru-RU"/>
              </w:rPr>
              <w:lastRenderedPageBreak/>
              <w:t xml:space="preserve">должностному лицу Администрации </w:t>
            </w:r>
          </w:p>
        </w:tc>
        <w:tc>
          <w:tcPr>
            <w:tcW w:w="1836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страции</w:t>
            </w:r>
          </w:p>
        </w:tc>
        <w:tc>
          <w:tcPr>
            <w:tcW w:w="184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Правовое, те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кументационное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</w:t>
            </w:r>
          </w:p>
        </w:tc>
        <w:tc>
          <w:tcPr>
            <w:tcW w:w="1776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1A6" w:rsidRPr="000D61A6" w:rsidTr="00872B43">
        <w:trPr>
          <w:trHeight w:val="2121"/>
        </w:trPr>
        <w:tc>
          <w:tcPr>
            <w:tcW w:w="52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31" w:type="dxa"/>
          </w:tcPr>
          <w:p w:rsidR="000D61A6" w:rsidRPr="000D61A6" w:rsidRDefault="000D61A6" w:rsidP="000D61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Подписанное </w:t>
            </w:r>
            <w:r w:rsidRPr="000D61A6">
              <w:rPr>
                <w:rFonts w:ascii="Times New Roman" w:eastAsia="SimSun" w:hAnsi="Times New Roman" w:cs="Times New Roman"/>
                <w:lang w:val="x-none" w:eastAsia="zh-CN"/>
              </w:rPr>
              <w:t>Решение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36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2 рабочих дня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страции</w:t>
            </w:r>
          </w:p>
        </w:tc>
        <w:tc>
          <w:tcPr>
            <w:tcW w:w="184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Правовое, те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1A6" w:rsidRPr="000D61A6" w:rsidTr="00872B43">
        <w:trPr>
          <w:trHeight w:val="2121"/>
        </w:trPr>
        <w:tc>
          <w:tcPr>
            <w:tcW w:w="529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31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61A6">
              <w:rPr>
                <w:rFonts w:ascii="Times New Roman" w:eastAsia="SimSun" w:hAnsi="Times New Roman" w:cs="Times New Roman"/>
                <w:lang w:eastAsia="ru-RU"/>
              </w:rPr>
              <w:t>Направление (в</w:t>
            </w:r>
            <w:r w:rsidRPr="000D61A6">
              <w:rPr>
                <w:rFonts w:ascii="Times New Roman" w:eastAsia="SimSun" w:hAnsi="Times New Roman" w:cs="Times New Roman"/>
                <w:lang w:eastAsia="ru-RU"/>
              </w:rPr>
              <w:t>ы</w:t>
            </w:r>
            <w:r w:rsidRPr="000D61A6">
              <w:rPr>
                <w:rFonts w:ascii="Times New Roman" w:eastAsia="SimSun" w:hAnsi="Times New Roman" w:cs="Times New Roman"/>
                <w:lang w:eastAsia="ru-RU"/>
              </w:rPr>
              <w:t xml:space="preserve">дача) заявителю Решения о 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ставлении разреш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ния на осуществл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ние земляных работ либо мотивирова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ного отказа в предоставлении муниципальной услуги.</w:t>
            </w:r>
          </w:p>
        </w:tc>
        <w:tc>
          <w:tcPr>
            <w:tcW w:w="5953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Решение о </w:t>
            </w:r>
            <w:r w:rsidRPr="000D61A6">
              <w:rPr>
                <w:rFonts w:ascii="Times New Roman" w:eastAsia="Times New Roman" w:hAnsi="Times New Roman" w:cs="Times New Roman"/>
                <w:lang w:val="x-none" w:eastAsia="x-none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0D61A6">
              <w:rPr>
                <w:rFonts w:ascii="Times New Roman" w:eastAsia="SimSun" w:hAnsi="Times New Roman" w:cs="Times New Roman"/>
                <w:lang w:val="x-none" w:eastAsia="x-none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0D61A6">
              <w:rPr>
                <w:rFonts w:ascii="Times New Roman" w:eastAsia="Times New Roman" w:hAnsi="Times New Roman" w:cs="Times New Roman"/>
                <w:lang w:eastAsia="x-none"/>
              </w:rPr>
              <w:t>1 рабочий день</w:t>
            </w:r>
          </w:p>
        </w:tc>
        <w:tc>
          <w:tcPr>
            <w:tcW w:w="1134" w:type="dxa"/>
          </w:tcPr>
          <w:p w:rsidR="000D61A6" w:rsidRPr="000D61A6" w:rsidRDefault="000D61A6" w:rsidP="000D61A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страции, специ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лист МФЦ</w:t>
            </w:r>
          </w:p>
        </w:tc>
        <w:tc>
          <w:tcPr>
            <w:tcW w:w="1845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Правовое, те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61A6" w:rsidRPr="000D61A6" w:rsidRDefault="000D61A6" w:rsidP="000D61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br w:type="column"/>
      </w:r>
      <w:r w:rsidRPr="000D61A6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0D61A6" w:rsidRPr="000D61A6" w:rsidTr="00872B43">
        <w:tc>
          <w:tcPr>
            <w:tcW w:w="266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явителем информации о сроках и порядке пред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ган, МФЦ для подачи запроса о предоставл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нии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рования запр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са о предоста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0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ном, предоставл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ющим услугу, з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проса о предоста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 и иных докуме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тов, необходимых для предоставл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 и уплаты иных пл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тежей, взимаемых в соответствии с законодательством Российской Фед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рации</w:t>
            </w:r>
          </w:p>
        </w:tc>
        <w:tc>
          <w:tcPr>
            <w:tcW w:w="196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 сведений о ходе выполнения запроса о пред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ставлении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5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лобы на наруш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ние порядка предоставления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 и д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судебного (внес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дебного) обжал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вания решений и действий (безде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ствия) органа в процессе получ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0D61A6" w:rsidRPr="000D61A6" w:rsidTr="00872B43">
        <w:tc>
          <w:tcPr>
            <w:tcW w:w="2665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2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8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D61A6" w:rsidRPr="000D61A6" w:rsidTr="00872B43">
        <w:tc>
          <w:tcPr>
            <w:tcW w:w="14786" w:type="dxa"/>
            <w:gridSpan w:val="7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0D61A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0D61A6" w:rsidRPr="000D61A6" w:rsidTr="00872B43">
        <w:trPr>
          <w:trHeight w:val="416"/>
        </w:trPr>
        <w:tc>
          <w:tcPr>
            <w:tcW w:w="2665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Единый портал гос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дарственных услуг;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услуг Воронежской обл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официальный сайт о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гана, </w:t>
            </w:r>
          </w:p>
          <w:p w:rsidR="000D61A6" w:rsidRPr="000D61A6" w:rsidRDefault="000D61A6" w:rsidP="000D61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D6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02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D61A6">
              <w:rPr>
                <w:rFonts w:ascii="Times New Roman" w:eastAsia="SimSun" w:hAnsi="Times New Roman" w:cs="Times New Roman"/>
                <w:lang w:eastAsia="ru-RU"/>
              </w:rPr>
              <w:t xml:space="preserve">    Требуется пред</w:t>
            </w:r>
            <w:r w:rsidRPr="000D61A6">
              <w:rPr>
                <w:rFonts w:ascii="Times New Roman" w:eastAsia="SimSun" w:hAnsi="Times New Roman" w:cs="Times New Roman"/>
                <w:lang w:eastAsia="ru-RU"/>
              </w:rPr>
              <w:t>о</w:t>
            </w:r>
            <w:r w:rsidRPr="000D61A6">
              <w:rPr>
                <w:rFonts w:ascii="Times New Roman" w:eastAsia="SimSun" w:hAnsi="Times New Roman" w:cs="Times New Roman"/>
                <w:lang w:eastAsia="ru-RU"/>
              </w:rPr>
              <w:t>ставление заявит</w:t>
            </w:r>
            <w:r w:rsidRPr="000D61A6">
              <w:rPr>
                <w:rFonts w:ascii="Times New Roman" w:eastAsia="SimSun" w:hAnsi="Times New Roman" w:cs="Times New Roman"/>
                <w:lang w:eastAsia="ru-RU"/>
              </w:rPr>
              <w:t>е</w:t>
            </w:r>
            <w:r w:rsidRPr="000D61A6">
              <w:rPr>
                <w:rFonts w:ascii="Times New Roman" w:eastAsia="SimSun" w:hAnsi="Times New Roman" w:cs="Times New Roman"/>
                <w:lang w:eastAsia="ru-RU"/>
              </w:rPr>
              <w:t>лем документов на бумажном носителе.</w:t>
            </w:r>
          </w:p>
        </w:tc>
        <w:tc>
          <w:tcPr>
            <w:tcW w:w="2160" w:type="dxa"/>
          </w:tcPr>
          <w:p w:rsidR="000D61A6" w:rsidRPr="000D61A6" w:rsidRDefault="000D61A6" w:rsidP="000D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1" w:type="dxa"/>
          </w:tcPr>
          <w:p w:rsidR="000D61A6" w:rsidRPr="000D61A6" w:rsidRDefault="000D61A6" w:rsidP="000D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SimSu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</w:tcPr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 xml:space="preserve">- Единый портал государственных и муниципальных услуг (функций) </w:t>
            </w:r>
          </w:p>
          <w:p w:rsidR="000D61A6" w:rsidRPr="000D61A6" w:rsidRDefault="000D61A6" w:rsidP="000D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- Портал госуда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ственных и мун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ципальных услуг Воронежской обл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1A6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</w:tr>
    </w:tbl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61A6" w:rsidRPr="000D61A6" w:rsidRDefault="000D61A6" w:rsidP="000D6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4327">
        <w:rPr>
          <w:rFonts w:ascii="Times New Roman" w:eastAsia="Times New Roman" w:hAnsi="Times New Roman" w:cs="Times New Roman"/>
          <w:b/>
          <w:lang w:eastAsia="ru-RU"/>
        </w:rPr>
        <w:t>Перечень приложений:</w:t>
      </w:r>
    </w:p>
    <w:p w:rsidR="007D2440" w:rsidRPr="00D53C45" w:rsidRDefault="003C4327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D2440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9C1EED" w:rsidRPr="00D727E3" w:rsidRDefault="007D2440" w:rsidP="003C4327">
      <w:pPr>
        <w:pStyle w:val="1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lastRenderedPageBreak/>
        <w:t xml:space="preserve">                                                                                           </w:t>
      </w:r>
    </w:p>
    <w:p w:rsidR="00B8066D" w:rsidRPr="00841235" w:rsidRDefault="00B8066D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</w:p>
    <w:sectPr w:rsidR="00B8066D" w:rsidRPr="00841235" w:rsidSect="007D2440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1" w:rsidRDefault="00A82CC1" w:rsidP="006B039A">
      <w:pPr>
        <w:spacing w:after="0" w:line="240" w:lineRule="auto"/>
      </w:pPr>
      <w:r>
        <w:separator/>
      </w:r>
    </w:p>
  </w:endnote>
  <w:endnote w:type="continuationSeparator" w:id="0">
    <w:p w:rsidR="00A82CC1" w:rsidRDefault="00A82CC1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1" w:rsidRDefault="00A82CC1" w:rsidP="006B039A">
      <w:pPr>
        <w:spacing w:after="0" w:line="240" w:lineRule="auto"/>
      </w:pPr>
      <w:r>
        <w:separator/>
      </w:r>
    </w:p>
  </w:footnote>
  <w:footnote w:type="continuationSeparator" w:id="0">
    <w:p w:rsidR="00A82CC1" w:rsidRDefault="00A82CC1" w:rsidP="006B039A">
      <w:pPr>
        <w:spacing w:after="0" w:line="240" w:lineRule="auto"/>
      </w:pPr>
      <w:r>
        <w:continuationSeparator/>
      </w:r>
    </w:p>
  </w:footnote>
  <w:footnote w:id="1">
    <w:p w:rsidR="000D61A6" w:rsidRDefault="000D61A6" w:rsidP="000D61A6">
      <w:pPr>
        <w:pStyle w:val="ad"/>
        <w:tabs>
          <w:tab w:val="left" w:pos="9375"/>
        </w:tabs>
        <w:rPr>
          <w:color w:val="FF0000"/>
        </w:rPr>
      </w:pPr>
      <w:r>
        <w:rPr>
          <w:rStyle w:val="af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0D61A6" w:rsidRDefault="000D61A6" w:rsidP="000D61A6">
      <w:pPr>
        <w:pStyle w:val="ad"/>
        <w:rPr>
          <w:rFonts w:ascii="Calibri" w:hAnsi="Calibri"/>
        </w:rPr>
      </w:pPr>
      <w:r>
        <w:rPr>
          <w:rStyle w:val="af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D61A6" w:rsidRDefault="000D61A6" w:rsidP="000D61A6">
      <w:pPr>
        <w:pStyle w:val="ad"/>
      </w:pPr>
      <w:r>
        <w:rPr>
          <w:rStyle w:val="af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D61A6" w:rsidRDefault="000D61A6" w:rsidP="000D61A6">
      <w:pPr>
        <w:pStyle w:val="ad"/>
      </w:pPr>
      <w:r>
        <w:rPr>
          <w:rStyle w:val="af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0D61A6" w:rsidRDefault="000D61A6" w:rsidP="000D61A6">
      <w:pPr>
        <w:pStyle w:val="ad"/>
      </w:pPr>
      <w:r>
        <w:rPr>
          <w:rStyle w:val="af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0D61A6" w:rsidRDefault="000D61A6" w:rsidP="000D61A6">
      <w:pPr>
        <w:pStyle w:val="ad"/>
      </w:pPr>
      <w:r>
        <w:rPr>
          <w:rStyle w:val="af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</w:t>
      </w:r>
      <w:r>
        <w:t>р</w:t>
      </w:r>
      <w:r>
        <w:t>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27" w:rsidRDefault="003C4327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C4327" w:rsidRDefault="003C4327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27" w:rsidRDefault="003C4327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D61A6">
      <w:rPr>
        <w:rStyle w:val="af4"/>
        <w:noProof/>
      </w:rPr>
      <w:t>2</w:t>
    </w:r>
    <w:r>
      <w:rPr>
        <w:rStyle w:val="af4"/>
      </w:rPr>
      <w:fldChar w:fldCharType="end"/>
    </w:r>
  </w:p>
  <w:p w:rsidR="003C4327" w:rsidRDefault="003C4327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38FF"/>
    <w:multiLevelType w:val="hybridMultilevel"/>
    <w:tmpl w:val="12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>
    <w:nsid w:val="54DD748F"/>
    <w:multiLevelType w:val="hybridMultilevel"/>
    <w:tmpl w:val="C68A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D64DA"/>
    <w:multiLevelType w:val="hybridMultilevel"/>
    <w:tmpl w:val="A04E6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8"/>
  </w:num>
  <w:num w:numId="14">
    <w:abstractNumId w:val="23"/>
  </w:num>
  <w:num w:numId="15">
    <w:abstractNumId w:val="24"/>
  </w:num>
  <w:num w:numId="16">
    <w:abstractNumId w:val="15"/>
  </w:num>
  <w:num w:numId="17">
    <w:abstractNumId w:val="29"/>
  </w:num>
  <w:num w:numId="18">
    <w:abstractNumId w:val="20"/>
  </w:num>
  <w:num w:numId="19">
    <w:abstractNumId w:val="22"/>
  </w:num>
  <w:num w:numId="20">
    <w:abstractNumId w:val="7"/>
  </w:num>
  <w:num w:numId="21">
    <w:abstractNumId w:val="21"/>
  </w:num>
  <w:num w:numId="22">
    <w:abstractNumId w:val="16"/>
  </w:num>
  <w:num w:numId="23">
    <w:abstractNumId w:val="13"/>
  </w:num>
  <w:num w:numId="24">
    <w:abstractNumId w:val="4"/>
  </w:num>
  <w:num w:numId="25">
    <w:abstractNumId w:val="6"/>
  </w:num>
  <w:num w:numId="26">
    <w:abstractNumId w:val="11"/>
  </w:num>
  <w:num w:numId="27">
    <w:abstractNumId w:val="14"/>
  </w:num>
  <w:num w:numId="28">
    <w:abstractNumId w:val="25"/>
  </w:num>
  <w:num w:numId="29">
    <w:abstractNumId w:val="26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429D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D61A6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7B71"/>
    <w:rsid w:val="002B27D1"/>
    <w:rsid w:val="002B4395"/>
    <w:rsid w:val="002C4AAE"/>
    <w:rsid w:val="002C5AC4"/>
    <w:rsid w:val="002F20CD"/>
    <w:rsid w:val="002F25A2"/>
    <w:rsid w:val="00320CD4"/>
    <w:rsid w:val="00322425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4327"/>
    <w:rsid w:val="003C5387"/>
    <w:rsid w:val="003D36FB"/>
    <w:rsid w:val="003E2598"/>
    <w:rsid w:val="003E2928"/>
    <w:rsid w:val="003E3669"/>
    <w:rsid w:val="003E633B"/>
    <w:rsid w:val="003F4C77"/>
    <w:rsid w:val="0040150C"/>
    <w:rsid w:val="0040302A"/>
    <w:rsid w:val="004075D9"/>
    <w:rsid w:val="00421695"/>
    <w:rsid w:val="0045763A"/>
    <w:rsid w:val="00457B7F"/>
    <w:rsid w:val="0046197B"/>
    <w:rsid w:val="00465C77"/>
    <w:rsid w:val="00475F83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07F3B"/>
    <w:rsid w:val="00533004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912BC"/>
    <w:rsid w:val="0069362B"/>
    <w:rsid w:val="00693701"/>
    <w:rsid w:val="00696272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A066C"/>
    <w:rsid w:val="007B43BD"/>
    <w:rsid w:val="007D2440"/>
    <w:rsid w:val="007E5B50"/>
    <w:rsid w:val="008038F9"/>
    <w:rsid w:val="00805366"/>
    <w:rsid w:val="008202EC"/>
    <w:rsid w:val="008267AC"/>
    <w:rsid w:val="00834CB9"/>
    <w:rsid w:val="0084228F"/>
    <w:rsid w:val="00843A61"/>
    <w:rsid w:val="00845A63"/>
    <w:rsid w:val="00852ADD"/>
    <w:rsid w:val="008629F4"/>
    <w:rsid w:val="00883DB0"/>
    <w:rsid w:val="00896638"/>
    <w:rsid w:val="008A60E5"/>
    <w:rsid w:val="008D4067"/>
    <w:rsid w:val="008F6CB1"/>
    <w:rsid w:val="009136DA"/>
    <w:rsid w:val="009212AD"/>
    <w:rsid w:val="00937230"/>
    <w:rsid w:val="009477FB"/>
    <w:rsid w:val="00956ED7"/>
    <w:rsid w:val="00967EF7"/>
    <w:rsid w:val="009704CA"/>
    <w:rsid w:val="0097416D"/>
    <w:rsid w:val="0098549A"/>
    <w:rsid w:val="00986786"/>
    <w:rsid w:val="009867E5"/>
    <w:rsid w:val="009A473A"/>
    <w:rsid w:val="009B217B"/>
    <w:rsid w:val="009B7CF9"/>
    <w:rsid w:val="009C1EED"/>
    <w:rsid w:val="009F148E"/>
    <w:rsid w:val="00A019A3"/>
    <w:rsid w:val="00A05C43"/>
    <w:rsid w:val="00A0710F"/>
    <w:rsid w:val="00A17B13"/>
    <w:rsid w:val="00A20703"/>
    <w:rsid w:val="00A307DE"/>
    <w:rsid w:val="00A445C6"/>
    <w:rsid w:val="00A527A9"/>
    <w:rsid w:val="00A64D28"/>
    <w:rsid w:val="00A71E89"/>
    <w:rsid w:val="00A728F8"/>
    <w:rsid w:val="00A823FB"/>
    <w:rsid w:val="00A82CC1"/>
    <w:rsid w:val="00A83585"/>
    <w:rsid w:val="00A87EF7"/>
    <w:rsid w:val="00A93902"/>
    <w:rsid w:val="00AC5151"/>
    <w:rsid w:val="00AD04CE"/>
    <w:rsid w:val="00AD2D74"/>
    <w:rsid w:val="00AD5100"/>
    <w:rsid w:val="00AE3E26"/>
    <w:rsid w:val="00AE52C4"/>
    <w:rsid w:val="00AF1F2A"/>
    <w:rsid w:val="00AF3411"/>
    <w:rsid w:val="00AF7671"/>
    <w:rsid w:val="00B16935"/>
    <w:rsid w:val="00B24242"/>
    <w:rsid w:val="00B355E1"/>
    <w:rsid w:val="00B421BB"/>
    <w:rsid w:val="00B63539"/>
    <w:rsid w:val="00B6741C"/>
    <w:rsid w:val="00B678DB"/>
    <w:rsid w:val="00B8066D"/>
    <w:rsid w:val="00B80E9E"/>
    <w:rsid w:val="00B83C7F"/>
    <w:rsid w:val="00B8471B"/>
    <w:rsid w:val="00BA0329"/>
    <w:rsid w:val="00BA1F97"/>
    <w:rsid w:val="00BD28FA"/>
    <w:rsid w:val="00BE47FA"/>
    <w:rsid w:val="00BE5C00"/>
    <w:rsid w:val="00BF7F66"/>
    <w:rsid w:val="00C60D4B"/>
    <w:rsid w:val="00C63D9D"/>
    <w:rsid w:val="00C91DAE"/>
    <w:rsid w:val="00C95E22"/>
    <w:rsid w:val="00CA7657"/>
    <w:rsid w:val="00CC737A"/>
    <w:rsid w:val="00CE3976"/>
    <w:rsid w:val="00CE4E95"/>
    <w:rsid w:val="00CE576B"/>
    <w:rsid w:val="00CE7D16"/>
    <w:rsid w:val="00CF14D8"/>
    <w:rsid w:val="00CF47AF"/>
    <w:rsid w:val="00CF47DF"/>
    <w:rsid w:val="00D0243C"/>
    <w:rsid w:val="00D06EFC"/>
    <w:rsid w:val="00D13CA5"/>
    <w:rsid w:val="00D20A61"/>
    <w:rsid w:val="00D308BC"/>
    <w:rsid w:val="00D31907"/>
    <w:rsid w:val="00D4053D"/>
    <w:rsid w:val="00D42296"/>
    <w:rsid w:val="00D53C45"/>
    <w:rsid w:val="00D55B90"/>
    <w:rsid w:val="00D56D83"/>
    <w:rsid w:val="00D62590"/>
    <w:rsid w:val="00D62733"/>
    <w:rsid w:val="00D62F0A"/>
    <w:rsid w:val="00DC4552"/>
    <w:rsid w:val="00DC6799"/>
    <w:rsid w:val="00DE6C7D"/>
    <w:rsid w:val="00DF71B7"/>
    <w:rsid w:val="00DF72FE"/>
    <w:rsid w:val="00E115FD"/>
    <w:rsid w:val="00E329C6"/>
    <w:rsid w:val="00E3767E"/>
    <w:rsid w:val="00E47AB9"/>
    <w:rsid w:val="00E57E28"/>
    <w:rsid w:val="00E60D27"/>
    <w:rsid w:val="00E64E5C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0EEA-7686-4974-B06F-8252A01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3</cp:revision>
  <cp:lastPrinted>2016-12-05T07:33:00Z</cp:lastPrinted>
  <dcterms:created xsi:type="dcterms:W3CDTF">2016-12-05T07:17:00Z</dcterms:created>
  <dcterms:modified xsi:type="dcterms:W3CDTF">2016-12-05T07:33:00Z</dcterms:modified>
</cp:coreProperties>
</file>