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9DA" w:rsidRDefault="00CD79DA" w:rsidP="00CD7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9DA" w:rsidRDefault="00CD79DA" w:rsidP="00CD7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9DA" w:rsidRDefault="00CD79DA" w:rsidP="00CD7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9DA" w:rsidRPr="000C08E6" w:rsidRDefault="00CD79DA" w:rsidP="00CD79DA">
      <w:pPr>
        <w:keepNext/>
        <w:keepLines/>
        <w:framePr w:w="4791" w:hSpace="180" w:wrap="around" w:vAnchor="text" w:hAnchor="margin" w:y="-182"/>
        <w:spacing w:before="200"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noProof/>
          <w:color w:val="4F81BD"/>
          <w:sz w:val="26"/>
          <w:szCs w:val="26"/>
          <w:lang w:eastAsia="ru-RU"/>
        </w:rPr>
      </w:pPr>
      <w:r w:rsidRPr="000C08E6">
        <w:rPr>
          <w:rFonts w:ascii="Cambria" w:eastAsia="Times New Roman" w:hAnsi="Cambria" w:cs="Times New Roman"/>
          <w:b/>
          <w:noProof/>
          <w:color w:val="4F81BD"/>
          <w:sz w:val="26"/>
          <w:szCs w:val="26"/>
          <w:lang w:eastAsia="ru-RU"/>
        </w:rPr>
        <w:drawing>
          <wp:inline distT="0" distB="0" distL="0" distR="0" wp14:anchorId="3A3F78F8" wp14:editId="30109916">
            <wp:extent cx="546100" cy="6540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9DA" w:rsidRPr="000C08E6" w:rsidRDefault="00CD79DA" w:rsidP="00CD79DA">
      <w:pPr>
        <w:framePr w:w="4791" w:hSpace="180" w:wrap="around" w:vAnchor="text" w:hAnchor="margin" w:y="-182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D79DA" w:rsidRPr="000C08E6" w:rsidRDefault="00CD79DA" w:rsidP="00CD79DA">
      <w:pPr>
        <w:framePr w:w="4791" w:hSpace="180" w:wrap="around" w:vAnchor="text" w:hAnchor="margin" w:y="-182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08E6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CD79DA" w:rsidRPr="000C08E6" w:rsidRDefault="00CD79DA" w:rsidP="00CD79DA">
      <w:pPr>
        <w:framePr w:w="4791" w:hSpace="180" w:wrap="around" w:vAnchor="text" w:hAnchor="margin" w:y="-182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08E6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</w:t>
      </w:r>
    </w:p>
    <w:p w:rsidR="00CD79DA" w:rsidRPr="000C08E6" w:rsidRDefault="00CD79DA" w:rsidP="00CD79DA">
      <w:pPr>
        <w:framePr w:w="4791" w:hSpace="180" w:wrap="around" w:vAnchor="text" w:hAnchor="margin" w:y="-182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08E6">
        <w:rPr>
          <w:rFonts w:ascii="Times New Roman" w:eastAsia="Calibri" w:hAnsi="Times New Roman" w:cs="Times New Roman"/>
          <w:b/>
          <w:sz w:val="24"/>
          <w:szCs w:val="24"/>
        </w:rPr>
        <w:t>Андреевский сельсовет</w:t>
      </w:r>
    </w:p>
    <w:p w:rsidR="00CD79DA" w:rsidRPr="000C08E6" w:rsidRDefault="00CD79DA" w:rsidP="00CD79DA">
      <w:pPr>
        <w:framePr w:w="4791" w:hSpace="180" w:wrap="around" w:vAnchor="text" w:hAnchor="margin" w:y="-182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08E6">
        <w:rPr>
          <w:rFonts w:ascii="Times New Roman" w:eastAsia="Calibri" w:hAnsi="Times New Roman" w:cs="Times New Roman"/>
          <w:b/>
          <w:sz w:val="24"/>
          <w:szCs w:val="24"/>
        </w:rPr>
        <w:t>Курманаевского района</w:t>
      </w:r>
    </w:p>
    <w:p w:rsidR="00CD79DA" w:rsidRPr="000C08E6" w:rsidRDefault="00CD79DA" w:rsidP="00CD79DA">
      <w:pPr>
        <w:framePr w:w="4791" w:hSpace="180" w:wrap="around" w:vAnchor="text" w:hAnchor="margin" w:y="-182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08E6">
        <w:rPr>
          <w:rFonts w:ascii="Times New Roman" w:eastAsia="Calibri" w:hAnsi="Times New Roman" w:cs="Times New Roman"/>
          <w:b/>
          <w:sz w:val="24"/>
          <w:szCs w:val="24"/>
        </w:rPr>
        <w:t>Оренбургской области</w:t>
      </w:r>
    </w:p>
    <w:p w:rsidR="00CD79DA" w:rsidRPr="000C08E6" w:rsidRDefault="00CD79DA" w:rsidP="00CD79DA">
      <w:pPr>
        <w:framePr w:w="4791" w:hSpace="180" w:wrap="around" w:vAnchor="text" w:hAnchor="margin" w:y="-182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79DA" w:rsidRPr="000C08E6" w:rsidRDefault="00CD79DA" w:rsidP="00CD79DA">
      <w:pPr>
        <w:framePr w:w="4791" w:hSpace="180" w:wrap="around" w:vAnchor="text" w:hAnchor="margin" w:y="-182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08E6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CD79DA" w:rsidRPr="000C08E6" w:rsidRDefault="00CD79DA" w:rsidP="00CD79DA">
      <w:pPr>
        <w:framePr w:w="4791" w:hSpace="180" w:wrap="around" w:vAnchor="text" w:hAnchor="margin" w:y="-182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79DA" w:rsidRDefault="00CD79DA" w:rsidP="00CD7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D79DA" w:rsidRDefault="00CD79DA" w:rsidP="00CD7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D79DA" w:rsidRDefault="00CD79DA" w:rsidP="00CD7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D79DA" w:rsidRDefault="00CD79DA" w:rsidP="00CD7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D79DA" w:rsidRDefault="00CD79DA" w:rsidP="00CD7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D79DA" w:rsidRDefault="00CD79DA" w:rsidP="00CD7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D79DA" w:rsidRDefault="00CD79DA" w:rsidP="00CD7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D79DA" w:rsidRDefault="00CD79DA" w:rsidP="00CD7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D79DA" w:rsidRDefault="00CD79DA" w:rsidP="00CD7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D79DA" w:rsidRDefault="00CD79DA" w:rsidP="00CD7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D79DA" w:rsidRDefault="00CD79DA" w:rsidP="00CD7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D79DA" w:rsidRDefault="00CD79DA" w:rsidP="00CD7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D79DA" w:rsidRDefault="00CD79DA" w:rsidP="00CD7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D79DA" w:rsidRDefault="00CD79DA" w:rsidP="00CD7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0C08E6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0C08E6">
        <w:rPr>
          <w:rFonts w:ascii="Times New Roman" w:eastAsia="Calibri" w:hAnsi="Times New Roman" w:cs="Times New Roman"/>
          <w:sz w:val="24"/>
          <w:szCs w:val="24"/>
        </w:rPr>
        <w:t xml:space="preserve">.2020 № </w:t>
      </w:r>
      <w:r>
        <w:rPr>
          <w:rFonts w:ascii="Times New Roman" w:eastAsia="Calibri" w:hAnsi="Times New Roman" w:cs="Times New Roman"/>
          <w:sz w:val="24"/>
          <w:szCs w:val="24"/>
        </w:rPr>
        <w:t>36</w:t>
      </w:r>
      <w:r w:rsidRPr="000C08E6">
        <w:rPr>
          <w:rFonts w:ascii="Times New Roman" w:eastAsia="Calibri" w:hAnsi="Times New Roman" w:cs="Times New Roman"/>
          <w:sz w:val="24"/>
          <w:szCs w:val="24"/>
        </w:rPr>
        <w:t>-п</w:t>
      </w:r>
    </w:p>
    <w:p w:rsidR="00CD79DA" w:rsidRDefault="00CD79DA" w:rsidP="00CD7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9DA" w:rsidRDefault="00CD79DA" w:rsidP="00CD7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от 22.05.2020 №53-п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методики 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финансового менеджмента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D79DA" w:rsidRDefault="00CD79DA" w:rsidP="00CD7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CD79DA" w:rsidRDefault="00CD79DA" w:rsidP="00CD79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</w:pPr>
    </w:p>
    <w:p w:rsidR="00CD79DA" w:rsidRPr="000E5C58" w:rsidRDefault="00CD79DA" w:rsidP="00CD79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160.2-1 Бюджетного кодекса Российской Федерации и в целях формирования стимулов к повышению качества финансового менеджмента приказываю:</w:t>
      </w:r>
    </w:p>
    <w:p w:rsidR="00CD79DA" w:rsidRPr="000E5C58" w:rsidRDefault="00CD79DA" w:rsidP="00CD79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CD79DA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методике оценки качества финансового менеджмента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в новой редакции</w:t>
      </w:r>
      <w:r w:rsidRPr="00CD7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9DA" w:rsidRPr="000E5C58" w:rsidRDefault="00CD79DA" w:rsidP="00CD79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Бухгалтеру Долженковой О.Н. </w:t>
      </w:r>
      <w:r w:rsidRPr="000E5C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проведение оценки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менеджмента главного администра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 средств</w:t>
      </w:r>
      <w:r w:rsidRPr="000E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Андреевского сельсовета Курманаевского района</w:t>
      </w:r>
      <w:r w:rsidRPr="000E5C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9DA" w:rsidRPr="000E5C58" w:rsidRDefault="00CD79DA" w:rsidP="00CD79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0E5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CD79DA" w:rsidRDefault="00CD79DA" w:rsidP="00CD79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Pr="000E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со дня его подписания.</w:t>
      </w:r>
    </w:p>
    <w:p w:rsidR="00CD79DA" w:rsidRDefault="00CD79DA" w:rsidP="00CD79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9DA" w:rsidRDefault="00CD79DA" w:rsidP="00CD7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9DA" w:rsidRPr="000C08E6" w:rsidRDefault="00CD79DA" w:rsidP="00CD7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E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0C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Л.Г. Алимкина</w:t>
      </w:r>
    </w:p>
    <w:p w:rsidR="00CD79DA" w:rsidRPr="000C08E6" w:rsidRDefault="00CD79DA" w:rsidP="00CD7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9DA" w:rsidRPr="000C08E6" w:rsidRDefault="00CD79DA" w:rsidP="00CD7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9DA" w:rsidRPr="000C08E6" w:rsidRDefault="00CD79DA" w:rsidP="00CD7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администрации района, прокурору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9DA" w:rsidRPr="000E5C58" w:rsidRDefault="00CD79DA" w:rsidP="00CD79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9DA" w:rsidRPr="000E5C58" w:rsidRDefault="00CD79DA" w:rsidP="00CD79DA">
      <w:pPr>
        <w:tabs>
          <w:tab w:val="left" w:pos="765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9DA" w:rsidRPr="000E5C58" w:rsidRDefault="00CD79DA" w:rsidP="00CD79DA">
      <w:pPr>
        <w:tabs>
          <w:tab w:val="left" w:pos="765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9DA" w:rsidRPr="000E5C58" w:rsidRDefault="00CD79DA" w:rsidP="00CD79DA">
      <w:pPr>
        <w:tabs>
          <w:tab w:val="left" w:pos="765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9DA" w:rsidRPr="000E5C58" w:rsidRDefault="00CD79DA" w:rsidP="00CD79DA">
      <w:pPr>
        <w:tabs>
          <w:tab w:val="left" w:pos="765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9DA" w:rsidRDefault="00CD79DA" w:rsidP="00CD79D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79DA" w:rsidRDefault="00CD79DA" w:rsidP="00CD79D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79DA" w:rsidRDefault="00CD79DA" w:rsidP="00CD79D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79DA" w:rsidRPr="000E5C58" w:rsidRDefault="00CD79DA" w:rsidP="00CD79DA">
      <w:pPr>
        <w:tabs>
          <w:tab w:val="left" w:pos="1800"/>
        </w:tabs>
        <w:jc w:val="center"/>
        <w:rPr>
          <w:rFonts w:ascii="Times New Roman" w:hAnsi="Times New Roman"/>
          <w:sz w:val="28"/>
          <w:szCs w:val="28"/>
        </w:rPr>
        <w:sectPr w:rsidR="00CD79DA" w:rsidRPr="000E5C58" w:rsidSect="00E60226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CD79DA" w:rsidRPr="000E5C58" w:rsidRDefault="00CD79DA" w:rsidP="00CD79DA">
      <w:pPr>
        <w:widowControl w:val="0"/>
        <w:autoSpaceDE w:val="0"/>
        <w:autoSpaceDN w:val="0"/>
        <w:spacing w:after="0" w:line="240" w:lineRule="auto"/>
        <w:ind w:firstLine="808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E5C5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CD79DA" w:rsidRPr="000E5C58" w:rsidRDefault="00CD79DA" w:rsidP="00CD79DA">
      <w:pPr>
        <w:widowControl w:val="0"/>
        <w:autoSpaceDE w:val="0"/>
        <w:autoSpaceDN w:val="0"/>
        <w:spacing w:after="0" w:line="240" w:lineRule="auto"/>
        <w:ind w:firstLine="808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E5C58">
        <w:rPr>
          <w:rFonts w:ascii="Times New Roman" w:eastAsia="Times New Roman" w:hAnsi="Times New Roman" w:cs="Times New Roman"/>
          <w:sz w:val="24"/>
          <w:szCs w:val="24"/>
        </w:rPr>
        <w:t xml:space="preserve">к методике оценки качества финансового менеджмента </w:t>
      </w:r>
    </w:p>
    <w:p w:rsidR="00CD79DA" w:rsidRPr="00E65B8C" w:rsidRDefault="00CD79DA" w:rsidP="00CD79DA">
      <w:pPr>
        <w:widowControl w:val="0"/>
        <w:autoSpaceDE w:val="0"/>
        <w:autoSpaceDN w:val="0"/>
        <w:spacing w:after="0" w:line="240" w:lineRule="auto"/>
        <w:ind w:firstLine="808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65B8C">
        <w:rPr>
          <w:rFonts w:ascii="Times New Roman" w:eastAsia="Times New Roman" w:hAnsi="Times New Roman" w:cs="Times New Roman"/>
          <w:sz w:val="24"/>
          <w:szCs w:val="24"/>
        </w:rPr>
        <w:t xml:space="preserve">главного распорядителя средств бюджета </w:t>
      </w:r>
      <w:r w:rsidRPr="00A01B4E">
        <w:rPr>
          <w:rFonts w:ascii="Times New Roman" w:eastAsia="Times New Roman" w:hAnsi="Times New Roman" w:cs="Times New Roman"/>
          <w:sz w:val="24"/>
          <w:szCs w:val="24"/>
        </w:rPr>
        <w:t>Андреевского</w:t>
      </w:r>
    </w:p>
    <w:p w:rsidR="00CD79DA" w:rsidRPr="00E65B8C" w:rsidRDefault="00CD79DA" w:rsidP="00CD79DA">
      <w:pPr>
        <w:widowControl w:val="0"/>
        <w:autoSpaceDE w:val="0"/>
        <w:autoSpaceDN w:val="0"/>
        <w:spacing w:after="0" w:line="240" w:lineRule="auto"/>
        <w:ind w:firstLine="808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65B8C">
        <w:rPr>
          <w:rFonts w:ascii="Times New Roman" w:eastAsia="Times New Roman" w:hAnsi="Times New Roman" w:cs="Times New Roman"/>
          <w:sz w:val="24"/>
          <w:szCs w:val="24"/>
        </w:rPr>
        <w:t>сельсовета Курманаевского района, главного администратора</w:t>
      </w:r>
    </w:p>
    <w:p w:rsidR="00CD79DA" w:rsidRPr="00E65B8C" w:rsidRDefault="00CD79DA" w:rsidP="00CD79DA">
      <w:pPr>
        <w:widowControl w:val="0"/>
        <w:autoSpaceDE w:val="0"/>
        <w:autoSpaceDN w:val="0"/>
        <w:spacing w:after="0" w:line="240" w:lineRule="auto"/>
        <w:ind w:firstLine="808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65B8C">
        <w:rPr>
          <w:rFonts w:ascii="Times New Roman" w:eastAsia="Times New Roman" w:hAnsi="Times New Roman" w:cs="Times New Roman"/>
          <w:sz w:val="24"/>
          <w:szCs w:val="24"/>
        </w:rPr>
        <w:t xml:space="preserve">дохода бюджета </w:t>
      </w:r>
      <w:r w:rsidRPr="00A01B4E">
        <w:rPr>
          <w:rFonts w:ascii="Times New Roman" w:eastAsia="Times New Roman" w:hAnsi="Times New Roman" w:cs="Times New Roman"/>
          <w:sz w:val="24"/>
          <w:szCs w:val="24"/>
        </w:rPr>
        <w:t>Андреевского</w:t>
      </w:r>
      <w:r w:rsidRPr="00E65B8C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Курманаевского района, </w:t>
      </w:r>
    </w:p>
    <w:p w:rsidR="00CD79DA" w:rsidRPr="00E65B8C" w:rsidRDefault="00CD79DA" w:rsidP="00CD79DA">
      <w:pPr>
        <w:widowControl w:val="0"/>
        <w:autoSpaceDE w:val="0"/>
        <w:autoSpaceDN w:val="0"/>
        <w:spacing w:after="0" w:line="240" w:lineRule="auto"/>
        <w:ind w:firstLine="808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65B8C">
        <w:rPr>
          <w:rFonts w:ascii="Times New Roman" w:eastAsia="Times New Roman" w:hAnsi="Times New Roman" w:cs="Times New Roman"/>
          <w:sz w:val="24"/>
          <w:szCs w:val="24"/>
        </w:rPr>
        <w:t xml:space="preserve">главного администраторов источников финансирования дефицита </w:t>
      </w:r>
    </w:p>
    <w:p w:rsidR="00CD79DA" w:rsidRPr="00E65B8C" w:rsidRDefault="00CD79DA" w:rsidP="00CD79DA">
      <w:pPr>
        <w:widowControl w:val="0"/>
        <w:autoSpaceDE w:val="0"/>
        <w:autoSpaceDN w:val="0"/>
        <w:spacing w:after="0" w:line="240" w:lineRule="auto"/>
        <w:ind w:firstLine="8080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65B8C"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r w:rsidRPr="00A01B4E">
        <w:rPr>
          <w:rFonts w:ascii="Times New Roman" w:eastAsia="Times New Roman" w:hAnsi="Times New Roman" w:cs="Times New Roman"/>
          <w:sz w:val="24"/>
          <w:szCs w:val="24"/>
        </w:rPr>
        <w:t>Андреевского</w:t>
      </w:r>
      <w:r w:rsidRPr="00E65B8C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bookmarkStart w:id="1" w:name="P75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5B8C">
        <w:rPr>
          <w:rFonts w:ascii="Times New Roman" w:eastAsia="Times New Roman" w:hAnsi="Times New Roman" w:cs="Times New Roman"/>
          <w:sz w:val="24"/>
          <w:szCs w:val="24"/>
        </w:rPr>
        <w:t>Курманаевского района</w:t>
      </w:r>
    </w:p>
    <w:p w:rsidR="00CD79DA" w:rsidRPr="000E5C58" w:rsidRDefault="00CD79DA" w:rsidP="00CD79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79DA" w:rsidRPr="000E5C58" w:rsidRDefault="00CD79DA" w:rsidP="00CD79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79DA" w:rsidRPr="000E5C58" w:rsidRDefault="00CD79DA" w:rsidP="00CD79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5C58">
        <w:rPr>
          <w:rFonts w:ascii="Times New Roman" w:hAnsi="Times New Roman" w:cs="Times New Roman"/>
          <w:sz w:val="28"/>
          <w:szCs w:val="28"/>
        </w:rPr>
        <w:t xml:space="preserve">Показатели </w:t>
      </w:r>
    </w:p>
    <w:p w:rsidR="00CD79DA" w:rsidRPr="006A71FA" w:rsidRDefault="00CD79DA" w:rsidP="00CD79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E65B8C">
        <w:rPr>
          <w:rFonts w:ascii="Times New Roman" w:hAnsi="Times New Roman" w:cs="Times New Roman"/>
          <w:sz w:val="28"/>
          <w:szCs w:val="28"/>
        </w:rPr>
        <w:t>оценки качества финансового менеджмента</w:t>
      </w:r>
    </w:p>
    <w:p w:rsidR="00CD79DA" w:rsidRDefault="00CD79DA" w:rsidP="00CD79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главного распорядителя средств бюджета </w:t>
      </w:r>
      <w:r w:rsidRPr="00A01B4E">
        <w:rPr>
          <w:rFonts w:ascii="Times New Roman" w:eastAsia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Курманаевского района, главного администратора</w:t>
      </w:r>
      <w:r w:rsidRPr="000E5C58">
        <w:rPr>
          <w:rFonts w:ascii="Times New Roman" w:eastAsia="Times New Roman" w:hAnsi="Times New Roman" w:cs="Times New Roman"/>
          <w:sz w:val="28"/>
          <w:szCs w:val="28"/>
        </w:rPr>
        <w:t xml:space="preserve"> дохода бюджета </w:t>
      </w:r>
      <w:r w:rsidRPr="00A01B4E">
        <w:rPr>
          <w:rFonts w:ascii="Times New Roman" w:eastAsia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Курманаевского района, главного администратора</w:t>
      </w:r>
      <w:r w:rsidRPr="000E5C58">
        <w:rPr>
          <w:rFonts w:ascii="Times New Roman" w:eastAsia="Times New Roman" w:hAnsi="Times New Roman" w:cs="Times New Roman"/>
          <w:sz w:val="28"/>
          <w:szCs w:val="28"/>
        </w:rPr>
        <w:t xml:space="preserve"> источников финансирования дефицита бюджета </w:t>
      </w:r>
      <w:r w:rsidRPr="00A01B4E">
        <w:rPr>
          <w:rFonts w:ascii="Times New Roman" w:eastAsia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Pr="000E5C58">
        <w:rPr>
          <w:rFonts w:ascii="Times New Roman" w:eastAsia="Times New Roman" w:hAnsi="Times New Roman" w:cs="Times New Roman"/>
          <w:sz w:val="28"/>
          <w:szCs w:val="28"/>
        </w:rPr>
        <w:t>Курманаевского района</w:t>
      </w:r>
    </w:p>
    <w:p w:rsidR="00CD79DA" w:rsidRPr="000E5C58" w:rsidRDefault="00CD79DA" w:rsidP="00CD79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79DA" w:rsidRPr="000E5C58" w:rsidRDefault="00CD79DA" w:rsidP="00CD79D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7"/>
        <w:gridCol w:w="1852"/>
        <w:gridCol w:w="4267"/>
        <w:gridCol w:w="9"/>
        <w:gridCol w:w="1134"/>
        <w:gridCol w:w="4000"/>
        <w:gridCol w:w="2804"/>
      </w:tblGrid>
      <w:tr w:rsidR="00CD79DA" w:rsidRPr="000E5C58" w:rsidTr="00EC631C">
        <w:trPr>
          <w:trHeight w:val="143"/>
          <w:tblHeader/>
        </w:trPr>
        <w:tc>
          <w:tcPr>
            <w:tcW w:w="597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2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67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показателя</w:t>
            </w:r>
          </w:p>
        </w:tc>
        <w:tc>
          <w:tcPr>
            <w:tcW w:w="1143" w:type="dxa"/>
            <w:gridSpan w:val="2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000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(баллы)</w:t>
            </w:r>
          </w:p>
        </w:tc>
        <w:tc>
          <w:tcPr>
            <w:tcW w:w="2804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CD79DA" w:rsidRPr="000E5C58" w:rsidTr="00EC631C">
        <w:trPr>
          <w:trHeight w:val="187"/>
          <w:tblHeader/>
        </w:trPr>
        <w:tc>
          <w:tcPr>
            <w:tcW w:w="597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7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gridSpan w:val="2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4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79DA" w:rsidRPr="000E5C58" w:rsidTr="00EC631C">
        <w:trPr>
          <w:trHeight w:val="143"/>
        </w:trPr>
        <w:tc>
          <w:tcPr>
            <w:tcW w:w="14663" w:type="dxa"/>
            <w:gridSpan w:val="7"/>
            <w:shd w:val="clear" w:color="auto" w:fill="auto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1. Показатели, характеризующие качество управления расходами</w:t>
            </w:r>
          </w:p>
        </w:tc>
      </w:tr>
      <w:tr w:rsidR="00CD79DA" w:rsidRPr="000E5C58" w:rsidTr="00EC631C">
        <w:trPr>
          <w:trHeight w:val="143"/>
        </w:trPr>
        <w:tc>
          <w:tcPr>
            <w:tcW w:w="597" w:type="dxa"/>
          </w:tcPr>
          <w:p w:rsidR="00CD79DA" w:rsidRPr="000E5C58" w:rsidRDefault="00CD79DA" w:rsidP="00EC631C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52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правового акта, регулирующего внутренние процедуры подготовки бюджетных проектировок на очередной финансовый год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плановый период</w:t>
            </w:r>
          </w:p>
        </w:tc>
        <w:tc>
          <w:tcPr>
            <w:tcW w:w="4276" w:type="dxa"/>
            <w:gridSpan w:val="2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 = А, где:</w:t>
            </w:r>
          </w:p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– наличие правового </w:t>
            </w:r>
            <w:r w:rsidRPr="00E65B8C">
              <w:rPr>
                <w:rFonts w:ascii="Times New Roman" w:eastAsia="Times New Roman" w:hAnsi="Times New Roman" w:cs="Times New Roman"/>
                <w:sz w:val="24"/>
                <w:szCs w:val="24"/>
              </w:rPr>
              <w:t>акта главного распорядителя средств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Андреевского </w:t>
            </w:r>
            <w:r w:rsidRPr="00E65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сельсовета Курманаевского района, главного администратора дохода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Андреевского</w:t>
            </w:r>
            <w:r w:rsidRPr="00E65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Курманаевского района, главного администратора источников финансирования дефицита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Андреевского</w:t>
            </w:r>
            <w:r w:rsidRPr="00E65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 Курманаевского района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главный администратор средств местного бюджета), регулирующего внутренние процедуры подготовки бюджетных проектировок на очередной финансовый год и плановый период, а также включение в данный документ разделов, регламентирующих:</w:t>
            </w:r>
          </w:p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P105"/>
            <w:bookmarkEnd w:id="2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1) подготовку реестра расходных обязательств главного администратора средств местного бюджета (далее –ГАБС);</w:t>
            </w:r>
          </w:p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2) подготовку обоснований бюджетных ассигнований;</w:t>
            </w:r>
          </w:p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P108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) наличие методики прогнозирования поступлений доходов в бюджет</w:t>
            </w:r>
          </w:p>
        </w:tc>
        <w:tc>
          <w:tcPr>
            <w:tcW w:w="1134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4000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C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4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если правовой акт ГАБС полностью соответствует требованиям </w:t>
            </w:r>
            <w:hyperlink w:anchor="P105" w:history="1">
              <w:r w:rsidRPr="000E5C5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подпунктов 1</w:t>
              </w:r>
            </w:hyperlink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hyperlink w:anchor="P108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</w:t>
              </w:r>
            </w:hyperlink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04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финансового менеджмента напрямую зависит от наличия правовых актов ГАБС, регламентирующих внутренние правила и процедуры планирования потребностей в бюджетных средствах для реализации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соответствующих полномочий</w:t>
            </w:r>
          </w:p>
        </w:tc>
      </w:tr>
      <w:tr w:rsidR="00CD79DA" w:rsidRPr="000E5C58" w:rsidTr="00EC631C">
        <w:trPr>
          <w:trHeight w:val="143"/>
        </w:trPr>
        <w:tc>
          <w:tcPr>
            <w:tcW w:w="597" w:type="dxa"/>
          </w:tcPr>
          <w:p w:rsidR="00CD79DA" w:rsidRPr="000E5C58" w:rsidRDefault="00CD79DA" w:rsidP="00EC631C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52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правового акта об организации внутреннего финансового аудита (контроля)</w:t>
            </w:r>
          </w:p>
        </w:tc>
        <w:tc>
          <w:tcPr>
            <w:tcW w:w="4276" w:type="dxa"/>
            <w:gridSpan w:val="2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Р = А, где:</w:t>
            </w:r>
          </w:p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А –  наличие правового акта ГАБС, обеспечивающего:</w:t>
            </w:r>
          </w:p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P137"/>
            <w:bookmarkEnd w:id="4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1) создание подразделения внутреннего финансового аудита (контроля);</w:t>
            </w:r>
          </w:p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2) независимость работы подразделения внутреннего финансового аудита (контроля) от работы других подразделений ГАБС;</w:t>
            </w:r>
          </w:p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наличие процедур и порядка осуществления внутреннего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финансового аудита (контроля)</w:t>
            </w:r>
          </w:p>
        </w:tc>
        <w:tc>
          <w:tcPr>
            <w:tcW w:w="1134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4000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A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если правовой акт ГАБС полностью соответствует требованиям </w:t>
            </w:r>
            <w:hyperlink w:anchor="P137" w:history="1">
              <w:r w:rsidRPr="000E5C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подпунктов 1</w:t>
              </w:r>
            </w:hyperlink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39" w:history="1">
              <w:r w:rsidRPr="000E5C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правового акта ГАБС об организации внутреннего финансового аудита (контроля) является положительным фактором, способствующим повышению качества финансового менеджмента</w:t>
            </w:r>
          </w:p>
        </w:tc>
      </w:tr>
      <w:tr w:rsidR="00CD79DA" w:rsidRPr="000E5C58" w:rsidTr="00EC631C">
        <w:trPr>
          <w:trHeight w:val="143"/>
        </w:trPr>
        <w:tc>
          <w:tcPr>
            <w:tcW w:w="597" w:type="dxa"/>
          </w:tcPr>
          <w:p w:rsidR="00CD79DA" w:rsidRPr="000E5C58" w:rsidRDefault="00CD79DA" w:rsidP="00EC631C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52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расходов, осуществляемых в соответствии с муниципальными программами, в общем объеме расходов ГАБС</w:t>
            </w:r>
          </w:p>
        </w:tc>
        <w:tc>
          <w:tcPr>
            <w:tcW w:w="4276" w:type="dxa"/>
            <w:gridSpan w:val="2"/>
          </w:tcPr>
          <w:p w:rsidR="00CD79DA" w:rsidRPr="00586AE4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А / В*100, где:</w:t>
            </w:r>
          </w:p>
          <w:p w:rsidR="00CD79DA" w:rsidRPr="00586AE4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t>А – объем расходов ГАБС в отчетном финансовом году, осуществленных в рамках муниципальных программ;</w:t>
            </w:r>
          </w:p>
          <w:p w:rsidR="00CD79DA" w:rsidRPr="00586AE4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t>В – объем расходов ГАБС в отчетном финансовом году</w:t>
            </w:r>
          </w:p>
          <w:p w:rsidR="00CD79DA" w:rsidRPr="00586AE4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t>7505837,86/7540437,86*100%=100%</w:t>
            </w:r>
          </w:p>
        </w:tc>
        <w:tc>
          <w:tcPr>
            <w:tcW w:w="1134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000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если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100;</w:t>
            </w:r>
          </w:p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если </w:t>
            </w:r>
            <w:proofErr w:type="gramStart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&gt;=</w:t>
            </w:r>
            <w:proofErr w:type="gramEnd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95;</w:t>
            </w:r>
          </w:p>
          <w:p w:rsidR="00CD79DA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если </w:t>
            </w:r>
            <w:proofErr w:type="gramStart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&lt; 95</w:t>
            </w:r>
            <w:proofErr w:type="gramEnd"/>
          </w:p>
          <w:p w:rsidR="00CD79DA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9DA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9DA" w:rsidRPr="005F3ACA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 расценивается рост доли расходов ГАБС, осуществляемых в соответствии с муниципальными программами</w:t>
            </w:r>
          </w:p>
        </w:tc>
      </w:tr>
      <w:tr w:rsidR="00CD79DA" w:rsidRPr="000E5C58" w:rsidTr="00EC631C">
        <w:trPr>
          <w:trHeight w:val="143"/>
        </w:trPr>
        <w:tc>
          <w:tcPr>
            <w:tcW w:w="597" w:type="dxa"/>
          </w:tcPr>
          <w:p w:rsidR="00CD79DA" w:rsidRPr="000E5C58" w:rsidRDefault="00CD79DA" w:rsidP="00EC631C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52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Равномерность расходов ГАБС в течение отчетного года</w:t>
            </w:r>
          </w:p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gridSpan w:val="2"/>
          </w:tcPr>
          <w:p w:rsidR="00CD79DA" w:rsidRPr="00586AE4" w:rsidRDefault="00CD79DA" w:rsidP="00EC6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86AE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58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86A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86AE4">
              <w:rPr>
                <w:rFonts w:ascii="Times New Roman" w:hAnsi="Times New Roman" w:cs="Times New Roman"/>
                <w:sz w:val="24"/>
                <w:szCs w:val="24"/>
              </w:rPr>
              <w:t xml:space="preserve"> / (1.1*(</w:t>
            </w:r>
            <w:r w:rsidRPr="0058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86A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86AE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58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86A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86AE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58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86A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586AE4">
              <w:rPr>
                <w:rFonts w:ascii="Times New Roman" w:hAnsi="Times New Roman" w:cs="Times New Roman"/>
                <w:sz w:val="24"/>
                <w:szCs w:val="24"/>
              </w:rPr>
              <w:t xml:space="preserve">) / 3) * </w:t>
            </w:r>
            <w:proofErr w:type="gramStart"/>
            <w:r w:rsidRPr="00586AE4">
              <w:rPr>
                <w:rFonts w:ascii="Times New Roman" w:hAnsi="Times New Roman" w:cs="Times New Roman"/>
                <w:sz w:val="24"/>
                <w:szCs w:val="24"/>
              </w:rPr>
              <w:t>100,где</w:t>
            </w:r>
            <w:proofErr w:type="gramEnd"/>
            <w:r w:rsidRPr="00586A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79DA" w:rsidRPr="00586AE4" w:rsidRDefault="00CD79DA" w:rsidP="00EC6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86A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586A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86A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86A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86A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86A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86A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86AE4">
              <w:rPr>
                <w:rFonts w:ascii="Times New Roman" w:hAnsi="Times New Roman" w:cs="Times New Roman"/>
                <w:sz w:val="24"/>
                <w:szCs w:val="24"/>
              </w:rPr>
              <w:t xml:space="preserve"> – объем расходов ГАБС в первом, втором, третьем и четвертом кварталах отчетного финансового года соответственно (без учета субсидий, субвенций и иных межбюджетных трансфертов, имеющих целевое назначение, поступивших из других бюджетов бюджетной системы)</w:t>
            </w:r>
          </w:p>
          <w:p w:rsidR="00CD79DA" w:rsidRPr="00586AE4" w:rsidRDefault="00CD79DA" w:rsidP="00EC6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E4">
              <w:rPr>
                <w:rFonts w:ascii="Times New Roman" w:hAnsi="Times New Roman" w:cs="Times New Roman"/>
                <w:sz w:val="24"/>
                <w:szCs w:val="24"/>
              </w:rPr>
              <w:t>6253150,86*1,1/3=2292821,9</w:t>
            </w:r>
          </w:p>
          <w:p w:rsidR="00CD79DA" w:rsidRPr="00586AE4" w:rsidRDefault="00CD79DA" w:rsidP="00EC6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E4">
              <w:rPr>
                <w:rFonts w:ascii="Times New Roman" w:hAnsi="Times New Roman" w:cs="Times New Roman"/>
                <w:sz w:val="24"/>
                <w:szCs w:val="24"/>
              </w:rPr>
              <w:t>2292821,9/7540437,86*100%=30,4%</w:t>
            </w:r>
          </w:p>
        </w:tc>
        <w:tc>
          <w:tcPr>
            <w:tcW w:w="1134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000" w:type="dxa"/>
          </w:tcPr>
          <w:p w:rsidR="00CD79DA" w:rsidRPr="00A262EE" w:rsidRDefault="00CD79DA" w:rsidP="00EC63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– если </w:t>
            </w:r>
            <w:proofErr w:type="gramStart"/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proofErr w:type="gramEnd"/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</w:rPr>
              <w:t>=100;</w:t>
            </w:r>
          </w:p>
          <w:p w:rsidR="00CD79DA" w:rsidRPr="00A262EE" w:rsidRDefault="00CD79DA" w:rsidP="00EC63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– если 100 </w:t>
            </w:r>
            <w:proofErr w:type="gramStart"/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</w:rPr>
              <w:t>&lt; Р</w:t>
            </w:r>
            <w:proofErr w:type="gramEnd"/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 = 110;</w:t>
            </w:r>
          </w:p>
          <w:p w:rsidR="00CD79DA" w:rsidRPr="00A262EE" w:rsidRDefault="00CD79DA" w:rsidP="00EC63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</w:rPr>
              <w:t>3 – если 110 &lt;</w:t>
            </w:r>
            <w:proofErr w:type="gramStart"/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proofErr w:type="gramEnd"/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</w:rPr>
              <w:t>= 115;</w:t>
            </w:r>
          </w:p>
          <w:p w:rsidR="00CD79DA" w:rsidRPr="00A262EE" w:rsidRDefault="00CD79DA" w:rsidP="00EC63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</w:rPr>
              <w:t>2 – если 115 &lt;</w:t>
            </w:r>
            <w:proofErr w:type="gramStart"/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proofErr w:type="gramEnd"/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</w:rPr>
              <w:t>= 120;</w:t>
            </w:r>
          </w:p>
          <w:p w:rsidR="00CD79DA" w:rsidRPr="00A262EE" w:rsidRDefault="00CD79DA" w:rsidP="00EC63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</w:rPr>
              <w:t>1 – если 120 &lt;</w:t>
            </w:r>
            <w:proofErr w:type="gramStart"/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proofErr w:type="gramEnd"/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</w:rPr>
              <w:t>= 125;</w:t>
            </w:r>
          </w:p>
          <w:p w:rsidR="00CD79DA" w:rsidRPr="00A262EE" w:rsidRDefault="00CD79DA" w:rsidP="00EC63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если </w:t>
            </w: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</w:rPr>
              <w:t>&gt; 125</w:t>
            </w:r>
          </w:p>
          <w:p w:rsidR="00CD79DA" w:rsidRPr="00A262EE" w:rsidRDefault="00CD79DA" w:rsidP="00EC63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9DA" w:rsidRPr="005F3ACA" w:rsidRDefault="00CD79DA" w:rsidP="00EC63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04" w:type="dxa"/>
          </w:tcPr>
          <w:p w:rsidR="00CD79DA" w:rsidRPr="00A262EE" w:rsidRDefault="00CD79DA" w:rsidP="00EC63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положительно расценивается факт равномерности расходов ГАБС </w:t>
            </w:r>
          </w:p>
        </w:tc>
      </w:tr>
      <w:tr w:rsidR="00CD79DA" w:rsidRPr="000E5C58" w:rsidTr="00EC631C">
        <w:trPr>
          <w:trHeight w:val="143"/>
        </w:trPr>
        <w:tc>
          <w:tcPr>
            <w:tcW w:w="597" w:type="dxa"/>
          </w:tcPr>
          <w:p w:rsidR="00CD79DA" w:rsidRPr="000E5C58" w:rsidRDefault="00CD79DA" w:rsidP="00EC631C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852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Эффективность управления кредиторской задолженностью по расходам </w:t>
            </w:r>
          </w:p>
        </w:tc>
        <w:tc>
          <w:tcPr>
            <w:tcW w:w="4276" w:type="dxa"/>
            <w:gridSpan w:val="2"/>
          </w:tcPr>
          <w:p w:rsidR="00CD79DA" w:rsidRPr="00586AE4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586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А, где:</w:t>
            </w:r>
          </w:p>
          <w:p w:rsidR="00CD79DA" w:rsidRPr="00586AE4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– объем просроченной кредиторской задолженности по расходам ГАБС по состоянию на 1 января года, следующего за отчетным годом</w:t>
            </w:r>
          </w:p>
        </w:tc>
        <w:tc>
          <w:tcPr>
            <w:tcW w:w="1134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4000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A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если 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0;</w:t>
            </w:r>
          </w:p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4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негативным считается факт наличия просроченной кредиторской задолженности по расходам</w:t>
            </w:r>
          </w:p>
        </w:tc>
      </w:tr>
      <w:tr w:rsidR="00CD79DA" w:rsidRPr="000E5C58" w:rsidTr="00EC631C">
        <w:trPr>
          <w:trHeight w:val="143"/>
        </w:trPr>
        <w:tc>
          <w:tcPr>
            <w:tcW w:w="597" w:type="dxa"/>
          </w:tcPr>
          <w:p w:rsidR="00CD79DA" w:rsidRPr="000E5C58" w:rsidRDefault="00CD79DA" w:rsidP="00EC631C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852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Эффективность управления кредиторской задолженностью по расчетам по оплате труда</w:t>
            </w:r>
          </w:p>
        </w:tc>
        <w:tc>
          <w:tcPr>
            <w:tcW w:w="4276" w:type="dxa"/>
            <w:gridSpan w:val="2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А, где:</w:t>
            </w:r>
          </w:p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– объем просроченной кредиторской задолженности ГАБС по расчетам по оплате труда по состоянию на 1 января года, следующего за отчетным годом</w:t>
            </w:r>
          </w:p>
        </w:tc>
        <w:tc>
          <w:tcPr>
            <w:tcW w:w="1134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4000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A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если 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0;</w:t>
            </w:r>
          </w:p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4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негативным считается факт наличия просроченной кредиторской задолженности по расчетам по оплате труда</w:t>
            </w:r>
          </w:p>
        </w:tc>
      </w:tr>
      <w:tr w:rsidR="00CD79DA" w:rsidRPr="000E5C58" w:rsidTr="00EC631C">
        <w:trPr>
          <w:trHeight w:val="143"/>
        </w:trPr>
        <w:tc>
          <w:tcPr>
            <w:tcW w:w="597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1852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Эффективность управления дебиторской задолженностью по расходам</w:t>
            </w:r>
          </w:p>
        </w:tc>
        <w:tc>
          <w:tcPr>
            <w:tcW w:w="4276" w:type="dxa"/>
            <w:gridSpan w:val="2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А, где:</w:t>
            </w:r>
          </w:p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– объем просроченной дебиторской задолженности по расходам ГАБС по состоянию на 1 января года, следующего за отчетным годом</w:t>
            </w:r>
          </w:p>
        </w:tc>
        <w:tc>
          <w:tcPr>
            <w:tcW w:w="1134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4000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A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если P = 0;</w:t>
            </w:r>
          </w:p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4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негативным считается факт наличия просроченной дебиторской задолженности по расходам</w:t>
            </w:r>
          </w:p>
        </w:tc>
      </w:tr>
      <w:tr w:rsidR="00CD79DA" w:rsidRPr="000E5C58" w:rsidTr="00EC631C">
        <w:trPr>
          <w:trHeight w:val="624"/>
        </w:trPr>
        <w:tc>
          <w:tcPr>
            <w:tcW w:w="597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852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суммы бюджетных ассигнований, изменения по которым внесены в сводную бюджетную роспись местного бюджета, в общем объеме бюджетных ассигнований, предусмотренных ГАБС на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отчетный финансовый год</w:t>
            </w:r>
          </w:p>
        </w:tc>
        <w:tc>
          <w:tcPr>
            <w:tcW w:w="4276" w:type="dxa"/>
            <w:gridSpan w:val="2"/>
          </w:tcPr>
          <w:p w:rsidR="00CD79DA" w:rsidRPr="00586AE4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 = А / В * 100, где:   </w:t>
            </w:r>
          </w:p>
          <w:p w:rsidR="00CD79DA" w:rsidRPr="00586AE4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t>А – сумма положительных и отрицательных (по модулю) изменений, внесенных ГАБС в сводную бюджетную роспись местного бюджета;</w:t>
            </w:r>
          </w:p>
          <w:p w:rsidR="00CD79DA" w:rsidRPr="00586AE4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t>В – общий объем бюджетных ассигнований, предусмотренных ГАБС на отчетный финансовый год (без учета безвозмездных поступлений).</w:t>
            </w:r>
          </w:p>
          <w:p w:rsidR="00CD79DA" w:rsidRPr="00586AE4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расчете значения индикатора учитываются изменения в сводную бюджетную роспись, осуществляемые по следующим основаниям:</w:t>
            </w:r>
          </w:p>
          <w:p w:rsidR="00CD79DA" w:rsidRPr="00586AE4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изменения, вносимые в связи с перераспределением бюджетных ассигнований между текущим </w:t>
            </w:r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финансовым годом и плановым периодом в пределах предусмотренного законом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 </w:t>
            </w:r>
          </w:p>
          <w:p w:rsidR="00CD79DA" w:rsidRPr="00586AE4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изменения, вносимые в связи с перераспределением бюджетных ассигнований, предусмотренных главному распорядителю средств местного бюджета,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</w:t>
            </w:r>
            <w:hyperlink r:id="rId5" w:history="1">
              <w:r w:rsidRPr="00586AE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классификации</w:t>
              </w:r>
            </w:hyperlink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бюджетов с последующим внесением изменений в закон о бюджете;</w:t>
            </w:r>
          </w:p>
          <w:p w:rsidR="00CD79DA" w:rsidRPr="00586AE4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услуг;</w:t>
            </w:r>
          </w:p>
          <w:p w:rsidR="00CD79DA" w:rsidRPr="00586AE4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изменения, вносимые в связи с перераспределением бюджетных </w:t>
            </w:r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ассигнований ГАБС по разделам, подразделам, целевым статьям и видам расходов бюджета в целях исполнения обязательств местного бюджета;</w:t>
            </w:r>
          </w:p>
          <w:p w:rsidR="00CD79DA" w:rsidRPr="00586AE4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изменения, вносимые в связи с перераспределением бюджетных ассигнований, предусмотренных ГАБС, между видами расходов в пределах общего объема бюджетных ассигнований по целевой статье расходов классификации расходов бюджетов в целях исполнения обязательств местного бюджета</w:t>
            </w:r>
          </w:p>
          <w:p w:rsidR="00CD79DA" w:rsidRPr="00586AE4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t>7438113,30/7537800,30*100%=98,9%</w:t>
            </w:r>
          </w:p>
        </w:tc>
        <w:tc>
          <w:tcPr>
            <w:tcW w:w="1134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4000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– если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0;</w:t>
            </w:r>
          </w:p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– если </w:t>
            </w:r>
            <w:proofErr w:type="gramStart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10 &gt;</w:t>
            </w:r>
            <w:proofErr w:type="gramEnd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&gt; 0;</w:t>
            </w:r>
          </w:p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если </w:t>
            </w:r>
            <w:proofErr w:type="gramStart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20 &gt;</w:t>
            </w:r>
            <w:proofErr w:type="gramEnd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&gt; 10;</w:t>
            </w:r>
          </w:p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если </w:t>
            </w:r>
            <w:proofErr w:type="gramStart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30 &gt;</w:t>
            </w:r>
            <w:proofErr w:type="gramEnd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&gt; 20;</w:t>
            </w:r>
          </w:p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если </w:t>
            </w:r>
            <w:proofErr w:type="gramStart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35 &gt;</w:t>
            </w:r>
            <w:proofErr w:type="gramEnd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&gt; 30;</w:t>
            </w:r>
          </w:p>
          <w:p w:rsidR="00CD79DA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если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&gt; 35</w:t>
            </w:r>
          </w:p>
          <w:p w:rsidR="00CD79DA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9DA" w:rsidRPr="005F3ACA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04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целевым ориентиром для ГАБС является отсутствие не связанных с объективными причинами изменений, вносимых в сводную бюджетную роспись</w:t>
            </w:r>
          </w:p>
        </w:tc>
      </w:tr>
      <w:tr w:rsidR="00CD79DA" w:rsidRPr="000E5C58" w:rsidTr="00EC631C">
        <w:trPr>
          <w:trHeight w:val="143"/>
        </w:trPr>
        <w:tc>
          <w:tcPr>
            <w:tcW w:w="14663" w:type="dxa"/>
            <w:gridSpan w:val="7"/>
            <w:shd w:val="clear" w:color="auto" w:fill="auto"/>
          </w:tcPr>
          <w:p w:rsidR="00CD79DA" w:rsidRPr="00586AE4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Показатели, характеризующие качество управления доходами</w:t>
            </w:r>
          </w:p>
        </w:tc>
      </w:tr>
      <w:tr w:rsidR="00CD79DA" w:rsidRPr="000E5C58" w:rsidTr="00EC631C">
        <w:trPr>
          <w:trHeight w:val="143"/>
        </w:trPr>
        <w:tc>
          <w:tcPr>
            <w:tcW w:w="597" w:type="dxa"/>
          </w:tcPr>
          <w:p w:rsidR="00CD79DA" w:rsidRPr="000E5C58" w:rsidRDefault="00CD79DA" w:rsidP="00EC631C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52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Исполнение по налоговым и неналоговым доходам</w:t>
            </w:r>
          </w:p>
        </w:tc>
        <w:tc>
          <w:tcPr>
            <w:tcW w:w="4267" w:type="dxa"/>
          </w:tcPr>
          <w:p w:rsidR="00CD79DA" w:rsidRPr="00586AE4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586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А / В*100, где:</w:t>
            </w:r>
          </w:p>
          <w:p w:rsidR="00CD79DA" w:rsidRPr="00586AE4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 – фактическое поступление налоговых и неналоговых доходов в местный бюджет по ГАБС в отчетном финансовом году; </w:t>
            </w:r>
          </w:p>
          <w:p w:rsidR="00CD79DA" w:rsidRPr="00586AE4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– уточненный план по налоговым и неналоговым доходам, заявленный ГАБС в отчетном финансовом году </w:t>
            </w:r>
          </w:p>
          <w:p w:rsidR="00CD79DA" w:rsidRPr="00586AE4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3899513,30/4030580,00*100%=97</w:t>
            </w:r>
          </w:p>
        </w:tc>
        <w:tc>
          <w:tcPr>
            <w:tcW w:w="1143" w:type="dxa"/>
            <w:gridSpan w:val="2"/>
          </w:tcPr>
          <w:p w:rsidR="00CD79DA" w:rsidRPr="00586AE4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4000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– если </w:t>
            </w:r>
            <w:proofErr w:type="gramStart"/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 &gt;</w:t>
            </w:r>
            <w:proofErr w:type="gramEnd"/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100;</w:t>
            </w:r>
          </w:p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– если </w:t>
            </w:r>
            <w:proofErr w:type="gramStart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100 &gt;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gramEnd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 95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если </w:t>
            </w:r>
            <w:proofErr w:type="gramStart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95 &gt;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gramEnd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&gt; = 90;</w:t>
            </w:r>
          </w:p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если </w:t>
            </w:r>
            <w:proofErr w:type="gramStart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 90</w:t>
            </w:r>
            <w:proofErr w:type="gramEnd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D79DA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79DA" w:rsidRPr="005F3ACA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04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положительно расценивается факт точности прогнозирования поступлений 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налоговым и неналоговым доходам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бюджет</w:t>
            </w:r>
          </w:p>
        </w:tc>
      </w:tr>
      <w:tr w:rsidR="00CD79DA" w:rsidRPr="000E5C58" w:rsidTr="00EC631C">
        <w:trPr>
          <w:trHeight w:val="143"/>
        </w:trPr>
        <w:tc>
          <w:tcPr>
            <w:tcW w:w="597" w:type="dxa"/>
          </w:tcPr>
          <w:p w:rsidR="00CD79DA" w:rsidRPr="000E5C58" w:rsidRDefault="00CD79DA" w:rsidP="00EC631C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52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Полнота включения налоговых 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расходов в муниципальные программы</w:t>
            </w:r>
          </w:p>
        </w:tc>
        <w:tc>
          <w:tcPr>
            <w:tcW w:w="4267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А / В*100, где:</w:t>
            </w:r>
          </w:p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 – объем налоговых расходов ГАБС, включенный в муниципальные 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программы в отчетном финансовом году; </w:t>
            </w:r>
          </w:p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– общий объем налоговых расходов ГАБС</w:t>
            </w:r>
          </w:p>
        </w:tc>
        <w:tc>
          <w:tcPr>
            <w:tcW w:w="1143" w:type="dxa"/>
            <w:gridSpan w:val="2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4000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– если Р = 100;</w:t>
            </w:r>
          </w:p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– если </w:t>
            </w:r>
            <w:proofErr w:type="gramStart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100 &gt;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gramEnd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 90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если Р </w:t>
            </w:r>
            <w:proofErr w:type="gramStart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&lt; 90</w:t>
            </w:r>
            <w:proofErr w:type="gramEnd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D79DA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  <w:p w:rsidR="00CD79DA" w:rsidRPr="005F3ACA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3A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04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положительно расценивается факт включения в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муниципальные программы налоговых расходов в полном объеме</w:t>
            </w:r>
          </w:p>
        </w:tc>
      </w:tr>
      <w:tr w:rsidR="00CD79DA" w:rsidRPr="000E5C58" w:rsidTr="00EC631C">
        <w:trPr>
          <w:trHeight w:val="143"/>
        </w:trPr>
        <w:tc>
          <w:tcPr>
            <w:tcW w:w="597" w:type="dxa"/>
          </w:tcPr>
          <w:p w:rsidR="00CD79DA" w:rsidRPr="000E5C58" w:rsidRDefault="00CD79DA" w:rsidP="00EC631C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852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Эффективность управления дебиторской задолженностью по доходам</w:t>
            </w:r>
          </w:p>
        </w:tc>
        <w:tc>
          <w:tcPr>
            <w:tcW w:w="4267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А, где:</w:t>
            </w:r>
          </w:p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– объем просроченной дебиторской задолженности по доходам ГАБС по состоянию на 1 января года, следующего за отчетным годом</w:t>
            </w:r>
          </w:p>
        </w:tc>
        <w:tc>
          <w:tcPr>
            <w:tcW w:w="1143" w:type="dxa"/>
            <w:gridSpan w:val="2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4000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A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если P = 0;</w:t>
            </w:r>
          </w:p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4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негативным считается факт наличия просроченной дебиторской задолженности по доходам</w:t>
            </w:r>
          </w:p>
        </w:tc>
      </w:tr>
      <w:tr w:rsidR="00CD79DA" w:rsidRPr="000E5C58" w:rsidTr="00EC631C">
        <w:trPr>
          <w:trHeight w:val="143"/>
        </w:trPr>
        <w:tc>
          <w:tcPr>
            <w:tcW w:w="14663" w:type="dxa"/>
            <w:gridSpan w:val="7"/>
            <w:shd w:val="clear" w:color="auto" w:fill="auto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3. Показатели, характеризующие раскрытие информации в сети Интернет</w:t>
            </w:r>
          </w:p>
        </w:tc>
      </w:tr>
      <w:tr w:rsidR="00CD79DA" w:rsidRPr="000E5C58" w:rsidTr="00EC631C">
        <w:trPr>
          <w:trHeight w:val="143"/>
        </w:trPr>
        <w:tc>
          <w:tcPr>
            <w:tcW w:w="597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852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Раскрытие информации о реализуемых муниципальных программах </w:t>
            </w:r>
          </w:p>
        </w:tc>
        <w:tc>
          <w:tcPr>
            <w:tcW w:w="4276" w:type="dxa"/>
            <w:gridSpan w:val="2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А / В*100, где:</w:t>
            </w:r>
          </w:p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А – количество муниципальных программ, размещенных на сайте ГАБС в информационно-</w:t>
            </w:r>
            <w:proofErr w:type="spellStart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телекоммуникацион</w:t>
            </w:r>
            <w:proofErr w:type="spellEnd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-ной сети «Интернет» (далее – сеть Интернет), по которым ГАБС является ответственным исполнителем;</w:t>
            </w:r>
          </w:p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В – количество муниципальных программ, по которым ГАБС является ответственным исполнителем</w:t>
            </w:r>
          </w:p>
        </w:tc>
        <w:tc>
          <w:tcPr>
            <w:tcW w:w="1134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000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A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если Р = 100;</w:t>
            </w:r>
          </w:p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04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 расценивается факт размещения на сайте ГАБС в сети Интернет информации о реализуемых муниципальных программах</w:t>
            </w:r>
          </w:p>
        </w:tc>
      </w:tr>
      <w:tr w:rsidR="00CD79DA" w:rsidRPr="000E5C58" w:rsidTr="00EC631C">
        <w:trPr>
          <w:trHeight w:val="143"/>
        </w:trPr>
        <w:tc>
          <w:tcPr>
            <w:tcW w:w="14663" w:type="dxa"/>
            <w:gridSpan w:val="7"/>
            <w:shd w:val="clear" w:color="auto" w:fill="auto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4. Показатели, характеризующие контроль и учет</w:t>
            </w:r>
          </w:p>
        </w:tc>
      </w:tr>
      <w:tr w:rsidR="00CD79DA" w:rsidRPr="000E5C58" w:rsidTr="00EC631C">
        <w:trPr>
          <w:trHeight w:val="143"/>
        </w:trPr>
        <w:tc>
          <w:tcPr>
            <w:tcW w:w="597" w:type="dxa"/>
          </w:tcPr>
          <w:p w:rsidR="00CD79DA" w:rsidRPr="000E5C58" w:rsidRDefault="00CD79DA" w:rsidP="00EC631C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852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Своевременность предоставления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бюджетной отчетности</w:t>
            </w:r>
          </w:p>
        </w:tc>
        <w:tc>
          <w:tcPr>
            <w:tcW w:w="4276" w:type="dxa"/>
            <w:gridSpan w:val="2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 = А, где:</w:t>
            </w:r>
          </w:p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– количество месяцев в отчетном финансовом году, по которым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бюджетная отчетность представлена позже установленного срока</w:t>
            </w:r>
          </w:p>
        </w:tc>
        <w:tc>
          <w:tcPr>
            <w:tcW w:w="1134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4000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– если Р =0;</w:t>
            </w:r>
          </w:p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нарушения сроков предоставления бюджетной отчетности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свидетельствует о плохом качестве финансового менеджмента</w:t>
            </w:r>
          </w:p>
        </w:tc>
      </w:tr>
      <w:tr w:rsidR="00CD79DA" w:rsidRPr="000E5C58" w:rsidTr="00EC631C">
        <w:trPr>
          <w:trHeight w:val="143"/>
        </w:trPr>
        <w:tc>
          <w:tcPr>
            <w:tcW w:w="597" w:type="dxa"/>
            <w:shd w:val="clear" w:color="auto" w:fill="auto"/>
          </w:tcPr>
          <w:p w:rsidR="00CD79DA" w:rsidRPr="000E5C58" w:rsidRDefault="00CD79DA" w:rsidP="00EC631C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852" w:type="dxa"/>
            <w:shd w:val="clear" w:color="auto" w:fill="auto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Исполнение судебных актов ГАБС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CD79DA" w:rsidRPr="00586AE4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 = А / В*100, где:</w:t>
            </w:r>
          </w:p>
          <w:p w:rsidR="00CD79DA" w:rsidRPr="00586AE4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– сумма, подлежащая взысканию по поступившим с начала финансового года исполнительным документам ГАБС за счет средств местного бюджета в отчетном финансовом году;</w:t>
            </w:r>
          </w:p>
          <w:p w:rsidR="00CD79DA" w:rsidRPr="00586AE4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– кассовое исполнение расходов ГАБС в отчетном финансовом году</w:t>
            </w:r>
          </w:p>
          <w:p w:rsidR="00CD79DA" w:rsidRPr="00586AE4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1300/7540437,86*100=0,02</w:t>
            </w:r>
          </w:p>
        </w:tc>
        <w:tc>
          <w:tcPr>
            <w:tcW w:w="1134" w:type="dxa"/>
            <w:shd w:val="clear" w:color="auto" w:fill="auto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4000" w:type="dxa"/>
            <w:shd w:val="clear" w:color="auto" w:fill="auto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– если 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0;</w:t>
            </w:r>
          </w:p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– если </w:t>
            </w:r>
            <w:proofErr w:type="gramStart"/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&gt;</w:t>
            </w:r>
            <w:proofErr w:type="gramEnd"/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= 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&gt; 0;</w:t>
            </w:r>
          </w:p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– если </w:t>
            </w:r>
            <w:proofErr w:type="gramStart"/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&gt;</w:t>
            </w:r>
            <w:proofErr w:type="gramEnd"/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= 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&gt; 3;</w:t>
            </w:r>
          </w:p>
          <w:p w:rsidR="00CD79DA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 – если 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&gt; 5</w:t>
            </w:r>
          </w:p>
          <w:p w:rsidR="00CD79DA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79DA" w:rsidRPr="005F3ACA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3A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04" w:type="dxa"/>
            <w:shd w:val="clear" w:color="auto" w:fill="auto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положительно расценивается отсутствие судебных актов</w:t>
            </w:r>
          </w:p>
        </w:tc>
      </w:tr>
      <w:tr w:rsidR="00CD79DA" w:rsidRPr="000E5C58" w:rsidTr="00EC631C">
        <w:trPr>
          <w:trHeight w:val="143"/>
        </w:trPr>
        <w:tc>
          <w:tcPr>
            <w:tcW w:w="597" w:type="dxa"/>
          </w:tcPr>
          <w:p w:rsidR="00CD79DA" w:rsidRPr="000E5C58" w:rsidRDefault="00CD79DA" w:rsidP="00EC631C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санкций органами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самоуправления Курманаевского района, органами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исполнительной власти Оренбургской области в связи с невыполнением условий соглашений, заключенных с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самоуправления Курманаевского района,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 исполнительной власти Оренбургской области</w:t>
            </w:r>
          </w:p>
        </w:tc>
        <w:tc>
          <w:tcPr>
            <w:tcW w:w="4276" w:type="dxa"/>
            <w:gridSpan w:val="2"/>
          </w:tcPr>
          <w:p w:rsidR="00CD79DA" w:rsidRPr="00586AE4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 = А, где:</w:t>
            </w:r>
          </w:p>
          <w:p w:rsidR="00CD79DA" w:rsidRPr="00586AE4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– объем средств, взысканный с ГАБС, в результате применения санкций органами местного самоуправления Курманаевского района, органами исполнительной власти Оренбургской </w:t>
            </w:r>
            <w:proofErr w:type="spellStart"/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областив</w:t>
            </w:r>
            <w:proofErr w:type="spellEnd"/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 с невыполнением условий соглашений</w:t>
            </w:r>
          </w:p>
        </w:tc>
        <w:tc>
          <w:tcPr>
            <w:tcW w:w="1134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4000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– если Р =0;</w:t>
            </w:r>
          </w:p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CD79DA" w:rsidRPr="000E5C58" w:rsidRDefault="00CD79DA" w:rsidP="00EC63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положительно расценивается отсутствие применения санкций органами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самоуправления Курманаевского района, органами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исполнительной власти Оренбургской области в связи с невыполнением условий соглашени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</w:tr>
    </w:tbl>
    <w:p w:rsidR="00CD79DA" w:rsidRDefault="00CD79DA" w:rsidP="00CD79DA"/>
    <w:p w:rsidR="00CD79DA" w:rsidRDefault="00CD79DA" w:rsidP="00CD79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           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m:t>O</m:t>
            </m:r>
          </m:e>
          <m:sub>
            <w:proofErr w:type="spellStart"/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m:t>i</m:t>
            </m:r>
            <w:proofErr w:type="spellEnd"/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naryPr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m:t>j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=1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w:proofErr w:type="spellStart"/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  <m:t>ij</m:t>
                </m:r>
                <w:proofErr w:type="spellEnd"/>
              </m:sub>
            </m:s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w:proofErr w:type="spellStart"/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  <m:t>i</m:t>
                </m:r>
                <w:proofErr w:type="spellEnd"/>
              </m:sub>
            </m:sSub>
          </m:e>
        </m:nary>
      </m:oMath>
      <w:r>
        <w:rPr>
          <w:sz w:val="28"/>
          <w:szCs w:val="28"/>
        </w:rPr>
        <w:t>= 59*1=59</w:t>
      </w:r>
      <w:r w:rsidRPr="00885389">
        <w:rPr>
          <w:sz w:val="28"/>
          <w:szCs w:val="28"/>
        </w:rPr>
        <w:t xml:space="preserve"> </w:t>
      </w:r>
    </w:p>
    <w:p w:rsidR="00CD79DA" w:rsidRPr="000D1C10" w:rsidRDefault="00CD79DA" w:rsidP="00CD79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</w:rPr>
      </w:pPr>
    </w:p>
    <w:p w:rsidR="00CD79DA" w:rsidRPr="000D1C10" w:rsidRDefault="00CD79DA" w:rsidP="00CD79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Оценка качества ГАБС=60</w:t>
      </w:r>
    </w:p>
    <w:p w:rsidR="00CD79DA" w:rsidRPr="00885389" w:rsidRDefault="00CD79DA" w:rsidP="00CD79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</w:rPr>
      </w:pPr>
    </w:p>
    <w:p w:rsidR="00CD79DA" w:rsidRPr="00B2011B" w:rsidRDefault="00CD79DA" w:rsidP="00CD79D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m:t>R</m:t>
            </m:r>
          </m:e>
          <m:sub>
            <w:proofErr w:type="spellStart"/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m:t>i</m:t>
            </m:r>
            <w:proofErr w:type="spellEnd"/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  <m:t>O</m:t>
                </m:r>
              </m:e>
              <m:sub>
                <w:proofErr w:type="spellStart"/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  <m:t>i</m:t>
                </m:r>
                <w:proofErr w:type="spellEnd"/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  <m:t>O</m:t>
                </m:r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  <m:t>max</m:t>
                </m:r>
              </m:sub>
            </m:sSub>
          </m:den>
        </m:f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en-US"/>
          </w:rPr>
          <m:t>×100,</m:t>
        </m:r>
      </m:oMath>
      <w:proofErr w:type="gramStart"/>
      <w:r w:rsidRPr="000E5C58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0E5C58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=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25E61">
        <w:rPr>
          <w:rFonts w:ascii="Times New Roman" w:eastAsia="Times New Roman" w:hAnsi="Times New Roman" w:cs="Times New Roman"/>
          <w:sz w:val="28"/>
          <w:szCs w:val="28"/>
          <w:lang w:val="en-US"/>
        </w:rPr>
        <w:t>59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/69*100%=8</w:t>
      </w:r>
      <w:r w:rsidRPr="00725E61"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 w:rsidRPr="00C51614">
        <w:rPr>
          <w:rFonts w:ascii="Times New Roman" w:eastAsia="Times New Roman" w:hAnsi="Times New Roman" w:cs="Times New Roman"/>
          <w:sz w:val="28"/>
          <w:szCs w:val="28"/>
          <w:lang w:val="en-US"/>
        </w:rPr>
        <w:t>%</w:t>
      </w:r>
    </w:p>
    <w:p w:rsidR="00CD79DA" w:rsidRPr="00B2011B" w:rsidRDefault="00CD79DA" w:rsidP="00CD79D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D79DA" w:rsidRPr="000D1C10" w:rsidRDefault="00CD79DA" w:rsidP="00CD79D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Рейтинговая оценка = 86%</w:t>
      </w:r>
    </w:p>
    <w:p w:rsidR="00CD79DA" w:rsidRDefault="00CD79DA" w:rsidP="00CD79D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CD79DA" w:rsidRDefault="00CD79DA" w:rsidP="00CD79D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CD79DA" w:rsidRDefault="00CD79DA" w:rsidP="00CD79D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  <w:sectPr w:rsidR="00CD79DA" w:rsidSect="006A71FA">
          <w:pgSz w:w="16838" w:h="11906" w:orient="landscape"/>
          <w:pgMar w:top="1135" w:right="567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ГАБС присваивается уровень качества фи</w:t>
      </w:r>
      <w:r>
        <w:rPr>
          <w:rFonts w:ascii="Times New Roman" w:hAnsi="Times New Roman" w:cs="Times New Roman"/>
          <w:sz w:val="28"/>
          <w:szCs w:val="28"/>
        </w:rPr>
        <w:t>нансового менеджмента «ХОРОШИЙ»</w:t>
      </w:r>
    </w:p>
    <w:p w:rsidR="00CD79DA" w:rsidRDefault="00CD79DA" w:rsidP="00CD79D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  <w:sectPr w:rsidR="00CD79DA" w:rsidSect="006A71FA">
          <w:pgSz w:w="16838" w:h="11906" w:orient="landscape"/>
          <w:pgMar w:top="1135" w:right="567" w:bottom="851" w:left="1134" w:header="709" w:footer="709" w:gutter="0"/>
          <w:cols w:space="708"/>
          <w:docGrid w:linePitch="360"/>
        </w:sectPr>
      </w:pPr>
    </w:p>
    <w:p w:rsidR="00CD79DA" w:rsidRDefault="00CD79DA" w:rsidP="00CD79DA"/>
    <w:p w:rsidR="0010201A" w:rsidRDefault="0010201A" w:rsidP="00CD79DA">
      <w:pPr>
        <w:widowControl w:val="0"/>
        <w:autoSpaceDE w:val="0"/>
        <w:autoSpaceDN w:val="0"/>
        <w:spacing w:after="0" w:line="240" w:lineRule="auto"/>
        <w:ind w:firstLine="8080"/>
        <w:outlineLvl w:val="1"/>
      </w:pPr>
    </w:p>
    <w:sectPr w:rsidR="0010201A" w:rsidSect="00A262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DA"/>
    <w:rsid w:val="0010201A"/>
    <w:rsid w:val="00507429"/>
    <w:rsid w:val="00C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178F"/>
  <w15:chartTrackingRefBased/>
  <w15:docId w15:val="{026E9185-D380-438D-B257-0ECD0A3B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CF25BD20103C3E247B077BAA9DBF753F0E8C9DC53A55B35759D953E676F40EC4729EE69F4D3F041B8FD0243A7B6C9537AE3F8C1F08DA2Eg7H3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Aristokrat</dc:creator>
  <cp:keywords/>
  <dc:description/>
  <cp:lastModifiedBy> </cp:lastModifiedBy>
  <cp:revision>1</cp:revision>
  <cp:lastPrinted>2021-06-10T10:04:00Z</cp:lastPrinted>
  <dcterms:created xsi:type="dcterms:W3CDTF">2021-06-10T09:53:00Z</dcterms:created>
  <dcterms:modified xsi:type="dcterms:W3CDTF">2021-06-10T10:06:00Z</dcterms:modified>
</cp:coreProperties>
</file>