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DF" w:rsidRDefault="003770DF" w:rsidP="00814E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770DF" w:rsidRDefault="003770DF" w:rsidP="00814E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4E36" w:rsidRPr="00814E36" w:rsidRDefault="00814E36" w:rsidP="00814E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4E3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14E36" w:rsidRPr="00814E36" w:rsidRDefault="00814E36" w:rsidP="00814E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4E36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814E36" w:rsidRPr="00814E36" w:rsidRDefault="00814E36" w:rsidP="00814E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4E36">
        <w:rPr>
          <w:rFonts w:ascii="Times New Roman" w:hAnsi="Times New Roman" w:cs="Times New Roman"/>
          <w:sz w:val="28"/>
          <w:szCs w:val="28"/>
        </w:rPr>
        <w:t>Климовский район</w:t>
      </w:r>
    </w:p>
    <w:p w:rsidR="00814E36" w:rsidRPr="00814E36" w:rsidRDefault="00814E36" w:rsidP="00FF0715">
      <w:pPr>
        <w:pBdr>
          <w:bottom w:val="thinThickSmallGap" w:sz="24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4E36">
        <w:rPr>
          <w:rFonts w:ascii="Times New Roman" w:hAnsi="Times New Roman" w:cs="Times New Roman"/>
          <w:sz w:val="28"/>
          <w:szCs w:val="28"/>
        </w:rPr>
        <w:t>Чуровичская сельская администрация Климовского района Брянской области</w:t>
      </w:r>
    </w:p>
    <w:p w:rsidR="00814E36" w:rsidRPr="00814E36" w:rsidRDefault="00814E36" w:rsidP="00814E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4E36" w:rsidRPr="00814E36" w:rsidRDefault="00814E36" w:rsidP="00814E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4E3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14E36" w:rsidRPr="00814E36" w:rsidRDefault="00814E36" w:rsidP="00814E3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72F72" w:rsidRDefault="00814E36" w:rsidP="00814E36">
      <w:pPr>
        <w:contextualSpacing/>
        <w:rPr>
          <w:rFonts w:ascii="Times New Roman" w:hAnsi="Times New Roman" w:cs="Times New Roman"/>
          <w:sz w:val="28"/>
          <w:szCs w:val="28"/>
        </w:rPr>
      </w:pPr>
      <w:r w:rsidRPr="00814E36">
        <w:rPr>
          <w:rFonts w:ascii="Times New Roman" w:hAnsi="Times New Roman" w:cs="Times New Roman"/>
          <w:sz w:val="28"/>
          <w:szCs w:val="28"/>
        </w:rPr>
        <w:t xml:space="preserve">от </w:t>
      </w:r>
      <w:r w:rsidR="003E11AC">
        <w:rPr>
          <w:rFonts w:ascii="Times New Roman" w:hAnsi="Times New Roman" w:cs="Times New Roman"/>
          <w:sz w:val="28"/>
          <w:szCs w:val="28"/>
        </w:rPr>
        <w:t>2</w:t>
      </w:r>
      <w:r w:rsidR="004A6A0D">
        <w:rPr>
          <w:rFonts w:ascii="Times New Roman" w:hAnsi="Times New Roman" w:cs="Times New Roman"/>
          <w:sz w:val="28"/>
          <w:szCs w:val="28"/>
        </w:rPr>
        <w:t>6</w:t>
      </w:r>
      <w:r w:rsidR="003E11AC">
        <w:rPr>
          <w:rFonts w:ascii="Times New Roman" w:hAnsi="Times New Roman" w:cs="Times New Roman"/>
          <w:sz w:val="28"/>
          <w:szCs w:val="28"/>
        </w:rPr>
        <w:t>.01</w:t>
      </w:r>
      <w:r w:rsidR="00FF0715">
        <w:rPr>
          <w:rFonts w:ascii="Times New Roman" w:hAnsi="Times New Roman" w:cs="Times New Roman"/>
          <w:sz w:val="28"/>
          <w:szCs w:val="28"/>
        </w:rPr>
        <w:t>.2021</w:t>
      </w:r>
      <w:r w:rsidRPr="00814E36">
        <w:rPr>
          <w:rFonts w:ascii="Times New Roman" w:hAnsi="Times New Roman" w:cs="Times New Roman"/>
          <w:sz w:val="28"/>
          <w:szCs w:val="28"/>
        </w:rPr>
        <w:t xml:space="preserve">  г.</w:t>
      </w:r>
      <w:r w:rsidRPr="00814E36">
        <w:rPr>
          <w:rFonts w:ascii="Times New Roman" w:hAnsi="Times New Roman" w:cs="Times New Roman"/>
          <w:sz w:val="28"/>
          <w:szCs w:val="28"/>
        </w:rPr>
        <w:tab/>
      </w:r>
      <w:r w:rsidRPr="00814E36">
        <w:rPr>
          <w:rFonts w:ascii="Times New Roman" w:hAnsi="Times New Roman" w:cs="Times New Roman"/>
          <w:sz w:val="28"/>
          <w:szCs w:val="28"/>
        </w:rPr>
        <w:tab/>
      </w:r>
      <w:r w:rsidRPr="00814E36">
        <w:rPr>
          <w:rFonts w:ascii="Times New Roman" w:hAnsi="Times New Roman" w:cs="Times New Roman"/>
          <w:sz w:val="28"/>
          <w:szCs w:val="28"/>
        </w:rPr>
        <w:tab/>
        <w:t xml:space="preserve">           № </w:t>
      </w:r>
      <w:r w:rsidR="003E11AC">
        <w:rPr>
          <w:rFonts w:ascii="Times New Roman" w:hAnsi="Times New Roman" w:cs="Times New Roman"/>
          <w:sz w:val="28"/>
          <w:szCs w:val="28"/>
        </w:rPr>
        <w:t>1</w:t>
      </w:r>
      <w:r w:rsidR="004A6A0D">
        <w:rPr>
          <w:rFonts w:ascii="Times New Roman" w:hAnsi="Times New Roman" w:cs="Times New Roman"/>
          <w:sz w:val="28"/>
          <w:szCs w:val="28"/>
        </w:rPr>
        <w:t>4</w:t>
      </w:r>
    </w:p>
    <w:p w:rsidR="00814E36" w:rsidRPr="00814E36" w:rsidRDefault="00814E36" w:rsidP="00814E36">
      <w:pPr>
        <w:contextualSpacing/>
        <w:rPr>
          <w:rFonts w:ascii="Times New Roman" w:hAnsi="Times New Roman" w:cs="Times New Roman"/>
          <w:sz w:val="28"/>
          <w:szCs w:val="28"/>
        </w:rPr>
      </w:pPr>
      <w:r w:rsidRPr="00814E36">
        <w:rPr>
          <w:rFonts w:ascii="Times New Roman" w:hAnsi="Times New Roman" w:cs="Times New Roman"/>
          <w:sz w:val="28"/>
          <w:szCs w:val="28"/>
        </w:rPr>
        <w:t>с. Чуровичи</w:t>
      </w:r>
    </w:p>
    <w:p w:rsidR="00814E36" w:rsidRPr="00814E36" w:rsidRDefault="00814E36" w:rsidP="00FF0715">
      <w:pPr>
        <w:shd w:val="clear" w:color="auto" w:fill="FFFFFF"/>
        <w:spacing w:after="0" w:line="240" w:lineRule="auto"/>
        <w:ind w:right="5491"/>
        <w:contextualSpacing/>
        <w:rPr>
          <w:rFonts w:ascii="Times New Roman" w:hAnsi="Times New Roman" w:cs="Times New Roman"/>
          <w:spacing w:val="-3"/>
          <w:sz w:val="28"/>
          <w:szCs w:val="28"/>
        </w:rPr>
      </w:pPr>
    </w:p>
    <w:p w:rsidR="003E038D" w:rsidRPr="000760F5" w:rsidRDefault="003E038D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Об   утверждении Муниципальной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целевой программы«Энергосбережение 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и повышение энергетической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эффективности на территории  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Чуровичского сельского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поселения на 2021-2023 годы»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 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по повышению энергетической и экологической эффективности российской экономики», распоряжением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31.12.2009 г.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 ПОСТАНОВЛЯЮ: 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    1.Утвердить Муниципальную целевую программу «Энергосбережение и повышение энергетической эффективности на территории Чуровичского сельского поселения на 2021-2023 годы, (далее – Программа), (прилагается).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</w:t>
      </w:r>
      <w:r w:rsidR="000760F5">
        <w:rPr>
          <w:rStyle w:val="ae"/>
          <w:rFonts w:ascii="Times New Roman" w:hAnsi="Times New Roman" w:cs="Times New Roman"/>
          <w:b w:val="0"/>
          <w:sz w:val="28"/>
          <w:szCs w:val="28"/>
        </w:rPr>
        <w:t>опубликовать на официальном сайте Чуровичской сельской администрации Климовского района.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       3.  Контроль за исполнением постановления  оставляю за собой.</w:t>
      </w:r>
    </w:p>
    <w:p w:rsidR="003E038D" w:rsidRPr="000760F5" w:rsidRDefault="000760F5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>
        <w:rPr>
          <w:rStyle w:val="ae"/>
          <w:rFonts w:ascii="Times New Roman" w:hAnsi="Times New Roman" w:cs="Times New Roman"/>
          <w:b w:val="0"/>
          <w:sz w:val="28"/>
          <w:szCs w:val="28"/>
        </w:rPr>
        <w:t>И.о. главы администрации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ab/>
        <w:t>О.П.Данильченко</w:t>
      </w:r>
    </w:p>
    <w:p w:rsidR="000760F5" w:rsidRDefault="000760F5" w:rsidP="003E038D">
      <w:pPr>
        <w:shd w:val="clear" w:color="auto" w:fill="FFFFFF"/>
        <w:spacing w:after="0" w:line="240" w:lineRule="auto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3E11AC" w:rsidRDefault="003E11AC" w:rsidP="003E038D">
      <w:pPr>
        <w:shd w:val="clear" w:color="auto" w:fill="FFFFFF"/>
        <w:spacing w:after="0" w:line="240" w:lineRule="auto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3E038D" w:rsidRPr="000760F5" w:rsidRDefault="003E038D" w:rsidP="003E038D">
      <w:pPr>
        <w:shd w:val="clear" w:color="auto" w:fill="FFFFFF"/>
        <w:spacing w:after="0" w:line="240" w:lineRule="auto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lastRenderedPageBreak/>
        <w:t>Утверждена</w:t>
      </w:r>
    </w:p>
    <w:p w:rsidR="000760F5" w:rsidRDefault="003E038D" w:rsidP="003E038D">
      <w:pPr>
        <w:shd w:val="clear" w:color="auto" w:fill="FFFFFF"/>
        <w:spacing w:after="0" w:line="240" w:lineRule="auto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                                                                         Постановлением</w:t>
      </w:r>
    </w:p>
    <w:p w:rsidR="003E038D" w:rsidRPr="000760F5" w:rsidRDefault="000760F5" w:rsidP="003E038D">
      <w:pPr>
        <w:shd w:val="clear" w:color="auto" w:fill="FFFFFF"/>
        <w:spacing w:after="0" w:line="240" w:lineRule="auto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  <w:r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3E11AC">
        <w:rPr>
          <w:rStyle w:val="ae"/>
          <w:rFonts w:ascii="Times New Roman" w:hAnsi="Times New Roman" w:cs="Times New Roman"/>
          <w:b w:val="0"/>
          <w:sz w:val="28"/>
          <w:szCs w:val="28"/>
        </w:rPr>
        <w:t>2</w:t>
      </w:r>
      <w:r w:rsidR="004A6A0D">
        <w:rPr>
          <w:rStyle w:val="ae"/>
          <w:rFonts w:ascii="Times New Roman" w:hAnsi="Times New Roman" w:cs="Times New Roman"/>
          <w:b w:val="0"/>
          <w:sz w:val="28"/>
          <w:szCs w:val="28"/>
        </w:rPr>
        <w:t>6</w:t>
      </w:r>
      <w:r w:rsidR="003E11AC">
        <w:rPr>
          <w:rStyle w:val="ae"/>
          <w:rFonts w:ascii="Times New Roman" w:hAnsi="Times New Roman" w:cs="Times New Roman"/>
          <w:b w:val="0"/>
          <w:sz w:val="28"/>
          <w:szCs w:val="28"/>
        </w:rPr>
        <w:t>.01.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2021 г. №</w:t>
      </w:r>
      <w:r w:rsidR="003E038D"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11AC">
        <w:rPr>
          <w:rStyle w:val="ae"/>
          <w:rFonts w:ascii="Times New Roman" w:hAnsi="Times New Roman" w:cs="Times New Roman"/>
          <w:b w:val="0"/>
          <w:sz w:val="28"/>
          <w:szCs w:val="28"/>
        </w:rPr>
        <w:t>1</w:t>
      </w:r>
      <w:r w:rsidR="004A6A0D">
        <w:rPr>
          <w:rStyle w:val="ae"/>
          <w:rFonts w:ascii="Times New Roman" w:hAnsi="Times New Roman" w:cs="Times New Roman"/>
          <w:b w:val="0"/>
          <w:sz w:val="28"/>
          <w:szCs w:val="28"/>
        </w:rPr>
        <w:t>4</w:t>
      </w:r>
      <w:r w:rsidR="003E11AC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Чуровичской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сельской администрации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Муниципальная целевая программа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«Энергосбережение  и повышение энергетической эффективности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на территории Чуровичского сельского поселения на 2021-2023 годы»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3E038D" w:rsidRPr="000760F5" w:rsidRDefault="003E038D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Программы по энергосбережению и повышению энергетической эффективности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44"/>
        <w:gridCol w:w="6994"/>
      </w:tblGrid>
      <w:tr w:rsidR="003E038D" w:rsidRPr="000760F5" w:rsidTr="003E038D">
        <w:trPr>
          <w:tblCellSpacing w:w="0" w:type="dxa"/>
        </w:trPr>
        <w:tc>
          <w:tcPr>
            <w:tcW w:w="29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ind w:right="367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Муниципальная целевая программа «Энергосбережение  и повышение энергетической эффективности на территории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Чуровичского сельского поселения на 2021-2023годы».</w:t>
            </w:r>
          </w:p>
        </w:tc>
      </w:tr>
      <w:tr w:rsidR="003E038D" w:rsidRPr="000760F5" w:rsidTr="003E038D">
        <w:trPr>
          <w:tblCellSpacing w:w="0" w:type="dxa"/>
        </w:trPr>
        <w:tc>
          <w:tcPr>
            <w:tcW w:w="29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Основание для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разработки Программы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- 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- Федеральный закон от 06 октября 2003 года  № 131-ФЗ «Об общих принципах организации местного самоуправления в Российской Федерации»;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- Указ Президента Российской Федерации от 04.07.2008 года № 889 «О некоторых мерах по повышению </w:t>
            </w: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энергетической и экологической эффективности российской экономики».</w:t>
            </w:r>
          </w:p>
        </w:tc>
      </w:tr>
      <w:tr w:rsidR="003E038D" w:rsidRPr="000760F5" w:rsidTr="003E038D">
        <w:trPr>
          <w:tblCellSpacing w:w="0" w:type="dxa"/>
        </w:trPr>
        <w:tc>
          <w:tcPr>
            <w:tcW w:w="29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образование «Чуровичское сельское поселение»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</w:tr>
      <w:tr w:rsidR="003E038D" w:rsidRPr="000760F5" w:rsidTr="003E038D">
        <w:trPr>
          <w:tblCellSpacing w:w="0" w:type="dxa"/>
        </w:trPr>
        <w:tc>
          <w:tcPr>
            <w:tcW w:w="29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Разработчики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Чуровичская  сельская администрация</w:t>
            </w:r>
          </w:p>
        </w:tc>
      </w:tr>
      <w:tr w:rsidR="003E038D" w:rsidRPr="000760F5" w:rsidTr="003E038D">
        <w:trPr>
          <w:tblCellSpacing w:w="0" w:type="dxa"/>
        </w:trPr>
        <w:tc>
          <w:tcPr>
            <w:tcW w:w="29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Цели и задачи Программы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Цель Программы -  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Задачи Программы:</w:t>
            </w:r>
          </w:p>
          <w:p w:rsidR="003E038D" w:rsidRPr="000760F5" w:rsidRDefault="003E038D">
            <w:pPr>
              <w:spacing w:after="0" w:line="240" w:lineRule="auto"/>
              <w:ind w:right="225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- повышение эффективности системы теплоснабжения;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- повышение эффективности системы электроснабжения;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- повышение эффективности системы водоснабжения и водоотведения;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- уменьшение потребления энергии и связанных с этим затрат по муниципальным контрактам.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</w:tr>
      <w:tr w:rsidR="003E038D" w:rsidRPr="000760F5" w:rsidTr="003E038D">
        <w:trPr>
          <w:tblCellSpacing w:w="0" w:type="dxa"/>
        </w:trPr>
        <w:tc>
          <w:tcPr>
            <w:tcW w:w="29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Сроки реализации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2021-2023 годы</w:t>
            </w:r>
          </w:p>
        </w:tc>
      </w:tr>
      <w:tr w:rsidR="003E038D" w:rsidRPr="000760F5" w:rsidTr="003E038D">
        <w:trPr>
          <w:tblCellSpacing w:w="0" w:type="dxa"/>
        </w:trPr>
        <w:tc>
          <w:tcPr>
            <w:tcW w:w="29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3E038D" w:rsidRPr="000760F5" w:rsidRDefault="003E038D" w:rsidP="00C74026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Общий объем финансирования Программы за счет средств бюджета Чуровичского сельского поселения составляет </w:t>
            </w:r>
            <w:r w:rsidR="00C74026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46 </w:t>
            </w: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 руб.</w:t>
            </w:r>
          </w:p>
        </w:tc>
      </w:tr>
      <w:tr w:rsidR="003E038D" w:rsidRPr="000760F5" w:rsidTr="003E038D">
        <w:trPr>
          <w:tblCellSpacing w:w="0" w:type="dxa"/>
        </w:trPr>
        <w:tc>
          <w:tcPr>
            <w:tcW w:w="29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- снижение нагрузки по оплате энергоносителей на местный бюджет;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- обеспечение полного учета потребления энергетических ресурсов;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- снижение удельных показателей энергопотребления;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- наличие актов энергетических обследований</w:t>
            </w:r>
          </w:p>
        </w:tc>
      </w:tr>
      <w:tr w:rsidR="003E038D" w:rsidRPr="000760F5" w:rsidTr="003E038D">
        <w:trPr>
          <w:tblCellSpacing w:w="0" w:type="dxa"/>
        </w:trPr>
        <w:tc>
          <w:tcPr>
            <w:tcW w:w="29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Контроль за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выполнением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Чуровичская  сельская администрация</w:t>
            </w:r>
          </w:p>
        </w:tc>
      </w:tr>
    </w:tbl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 Введение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 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  ресурсов.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</w:t>
      </w: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lastRenderedPageBreak/>
        <w:t>качестве, превратить энергосбережение в решающий фактор функционирования поселения.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Факторы, влияющие на процессы энергосбережения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760F5">
        <w:rPr>
          <w:rStyle w:val="ae"/>
          <w:rFonts w:ascii="Times New Roman" w:hAnsi="Times New Roman" w:cs="Times New Roman"/>
          <w:b w:val="0"/>
          <w:sz w:val="28"/>
          <w:szCs w:val="28"/>
        </w:rPr>
        <w:t>Чуровичском</w:t>
      </w: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 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Факторы, стимулирующие процессы энергосбережения: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- рост стоимости энергоресурсов;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- повышение качества эксплуатации жилищного фонда.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Цель энергосбережения - это повышение энергоэффективности во всех отраслях на территории поселения.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Задача </w:t>
      </w:r>
      <w:r w:rsidR="000760F5">
        <w:rPr>
          <w:rStyle w:val="ae"/>
          <w:rFonts w:ascii="Times New Roman" w:hAnsi="Times New Roman" w:cs="Times New Roman"/>
          <w:b w:val="0"/>
          <w:sz w:val="28"/>
          <w:szCs w:val="28"/>
        </w:rPr>
        <w:t>Чуровичской</w:t>
      </w: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сельской администрации - определить, какими мерами необходимо осуществить повышение энергоэффективности.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 Основные направления энергосбережения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 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3. Создание системы контроля потребления энергоресурсов. На сегодняшний день сложились все предпосылки для организации надежной и экономичной системы  учета энергии. Во всех учреждениях установлены приборы учета коммунальных ресурсов, следствием чего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 Энергосбережение в муниципальных учреждениях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  - обеспечить проведение энергетических обследований;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 - установить и обеспечить соблюдение нормативов затрат топлива и энергии, лимитов потребления энергетических ресурсов;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- сформировать систему муниципальных нормативных правовых актов, стимулирующих энергосбережение;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lastRenderedPageBreak/>
        <w:t>- автоматизировать потребление тепловой энергии зданиями, строениями, сооружениями;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- осуществлять контроль и мониторинг за реализацией энергосервисных контрактов.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 Энергосбережение в жилых домах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    Общая площадь жилого фонда Чуровичского сельского поселения на 01.01.2021 г. составляет </w:t>
      </w:r>
      <w:r w:rsidR="000760F5">
        <w:rPr>
          <w:rStyle w:val="ae"/>
          <w:rFonts w:ascii="Times New Roman" w:hAnsi="Times New Roman" w:cs="Times New Roman"/>
          <w:b w:val="0"/>
          <w:sz w:val="28"/>
          <w:szCs w:val="28"/>
        </w:rPr>
        <w:t>45,5</w:t>
      </w: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тыс.кв.м., в муниципальной собственности жилищного фонда имеется  </w:t>
      </w:r>
      <w:r w:rsidR="000760F5">
        <w:rPr>
          <w:rStyle w:val="ae"/>
          <w:rFonts w:ascii="Times New Roman" w:hAnsi="Times New Roman" w:cs="Times New Roman"/>
          <w:b w:val="0"/>
          <w:sz w:val="28"/>
          <w:szCs w:val="28"/>
        </w:rPr>
        <w:t>0,1</w:t>
      </w: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тыс. кв.м..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- проведение энергосберегающих мероприятий (проведение энергетических обследований,  оснащение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 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- создать условия для обеспечения жилищного фонда приборами учета коммунальных ресурсов и устройствами регулирования потребления тепловой энергии;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 Система коммунальной инфраструктуры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 Организационные мероприятия по энергосбережению и повышению энергетической эффективности системы коммунальной инфраструктуры </w:t>
      </w:r>
      <w:r w:rsidR="000760F5">
        <w:rPr>
          <w:rStyle w:val="ae"/>
          <w:rFonts w:ascii="Times New Roman" w:hAnsi="Times New Roman" w:cs="Times New Roman"/>
          <w:b w:val="0"/>
          <w:sz w:val="28"/>
          <w:szCs w:val="28"/>
        </w:rPr>
        <w:t>Чуровичского</w:t>
      </w: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сельского поселения включают в себя: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-  проведение энергетического аудита;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бесхозяйные объекты недвижимого имущества;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-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</w:t>
      </w: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lastRenderedPageBreak/>
        <w:t>определению 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 Муниципальные закупки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 - Отказ от закупок товаров для муниципальных нужд, имеющих низкую энергоэффективность;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- соблюдение запрета закупок для муниципальных нужд всех типов ламп накаливания мощностью 100 Вт и выше.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Ожидаемые результаты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 Программа энергосбережения обеспечит перевод на энергоэффективные пути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обследований.</w:t>
      </w:r>
    </w:p>
    <w:p w:rsidR="003E038D" w:rsidRPr="000760F5" w:rsidRDefault="003E038D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Учет топливно-энергетических ресурсов, их экономия, нормирование и лимитирование, оптимизация топливно - энгергетического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ПЛАН МЕРОПРИЯТИЙ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по реализации Муниципальной целевой программы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«Энергосбережение и повышение энергетической эффективности</w:t>
      </w:r>
    </w:p>
    <w:p w:rsidR="003E038D" w:rsidRPr="000760F5" w:rsidRDefault="003E038D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 w:cs="Times New Roman"/>
          <w:b w:val="0"/>
          <w:sz w:val="28"/>
          <w:szCs w:val="28"/>
        </w:rPr>
        <w:t>на территории Чуровичского сельского поселения на 2021-2023 годы»</w:t>
      </w:r>
    </w:p>
    <w:tbl>
      <w:tblPr>
        <w:tblW w:w="121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01"/>
        <w:gridCol w:w="3357"/>
        <w:gridCol w:w="2240"/>
        <w:gridCol w:w="2025"/>
        <w:gridCol w:w="1713"/>
        <w:gridCol w:w="2199"/>
      </w:tblGrid>
      <w:tr w:rsidR="003E038D" w:rsidRPr="000760F5" w:rsidTr="003E038D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Исполнители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Источник финансирования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Объёмы финансовых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средств</w:t>
            </w:r>
          </w:p>
        </w:tc>
        <w:tc>
          <w:tcPr>
            <w:tcW w:w="2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</w:tr>
      <w:tr w:rsidR="003E038D" w:rsidRPr="000760F5" w:rsidTr="003E038D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  <w:p w:rsidR="003E038D" w:rsidRPr="000760F5" w:rsidRDefault="003E038D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2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E038D" w:rsidRPr="000760F5" w:rsidTr="003E038D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Назначение ответственных лиц за энергосбережение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Чуровичская сельская администрация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местный бюджет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без финансовых </w:t>
            </w:r>
          </w:p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затрат</w:t>
            </w:r>
          </w:p>
        </w:tc>
        <w:tc>
          <w:tcPr>
            <w:tcW w:w="2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E038D" w:rsidRPr="000760F5" w:rsidTr="003E038D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Закупка и замена ламп накаливания на энергоэффективные в зданиях, находящихся в муниципальной собственности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Чуровичская  сельская администрация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местный бюджет</w:t>
            </w:r>
          </w:p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3E038D" w:rsidRPr="000760F5" w:rsidRDefault="00C74026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6</w:t>
            </w:r>
            <w:r w:rsidR="003E038D"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 руб.</w:t>
            </w:r>
          </w:p>
        </w:tc>
        <w:tc>
          <w:tcPr>
            <w:tcW w:w="2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E038D" w:rsidRPr="000760F5" w:rsidTr="003E038D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Закуп</w:t>
            </w:r>
            <w:bookmarkStart w:id="0" w:name="_GoBack"/>
            <w:bookmarkEnd w:id="0"/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ка и замена старых светильников уличного освещения на энергоэффективные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Чуровичская сельская администрация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местный бюджет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3E038D" w:rsidRPr="000760F5" w:rsidRDefault="00C74026" w:rsidP="00C74026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  <w:r w:rsidR="003E038D"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 руб.</w:t>
            </w:r>
          </w:p>
        </w:tc>
        <w:tc>
          <w:tcPr>
            <w:tcW w:w="2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E038D" w:rsidRPr="000760F5" w:rsidTr="003E038D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Промывка системы отопления в здании </w:t>
            </w: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Чуровичского  СДК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Чуровичская сельская </w:t>
            </w: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без финансовых</w:t>
            </w:r>
          </w:p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 затрат</w:t>
            </w:r>
          </w:p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(собственными </w:t>
            </w:r>
          </w:p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силами)</w:t>
            </w:r>
          </w:p>
        </w:tc>
        <w:tc>
          <w:tcPr>
            <w:tcW w:w="2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E038D" w:rsidRPr="000760F5" w:rsidTr="003E038D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Организация пропаганды в сфере энергосбережения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Чуровичская сельская администрация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местный бюджет</w:t>
            </w:r>
          </w:p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 без финансовых </w:t>
            </w:r>
          </w:p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затрат</w:t>
            </w:r>
          </w:p>
        </w:tc>
        <w:tc>
          <w:tcPr>
            <w:tcW w:w="2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E038D" w:rsidRPr="000760F5" w:rsidTr="003E038D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 ИТОГО: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8D" w:rsidRPr="000760F5" w:rsidRDefault="003E038D" w:rsidP="00C74026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C74026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0760F5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 руб.</w:t>
            </w:r>
          </w:p>
        </w:tc>
        <w:tc>
          <w:tcPr>
            <w:tcW w:w="2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E038D" w:rsidRPr="000760F5" w:rsidRDefault="003E038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14E36" w:rsidRPr="00814E36" w:rsidRDefault="00814E36" w:rsidP="00FF0715">
      <w:pPr>
        <w:spacing w:after="0" w:line="240" w:lineRule="auto"/>
        <w:rPr>
          <w:rFonts w:ascii="Times New Roman" w:hAnsi="Times New Roman" w:cs="Times New Roman"/>
          <w:bCs/>
        </w:rPr>
      </w:pPr>
    </w:p>
    <w:sectPr w:rsidR="00814E36" w:rsidRPr="00814E36" w:rsidSect="000760F5">
      <w:pgSz w:w="11906" w:h="16838"/>
      <w:pgMar w:top="284" w:right="991" w:bottom="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BD8" w:rsidRDefault="00120BD8" w:rsidP="008F0442">
      <w:pPr>
        <w:spacing w:after="0" w:line="240" w:lineRule="auto"/>
      </w:pPr>
      <w:r>
        <w:separator/>
      </w:r>
    </w:p>
  </w:endnote>
  <w:endnote w:type="continuationSeparator" w:id="1">
    <w:p w:rsidR="00120BD8" w:rsidRDefault="00120BD8" w:rsidP="008F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BD8" w:rsidRDefault="00120BD8" w:rsidP="008F0442">
      <w:pPr>
        <w:spacing w:after="0" w:line="240" w:lineRule="auto"/>
      </w:pPr>
      <w:r>
        <w:separator/>
      </w:r>
    </w:p>
  </w:footnote>
  <w:footnote w:type="continuationSeparator" w:id="1">
    <w:p w:rsidR="00120BD8" w:rsidRDefault="00120BD8" w:rsidP="008F0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3EB3"/>
    <w:multiLevelType w:val="hybridMultilevel"/>
    <w:tmpl w:val="DEC26878"/>
    <w:lvl w:ilvl="0" w:tplc="C310C89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C901BF"/>
    <w:multiLevelType w:val="hybridMultilevel"/>
    <w:tmpl w:val="959C210E"/>
    <w:lvl w:ilvl="0" w:tplc="6DF6134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4636C"/>
    <w:multiLevelType w:val="hybridMultilevel"/>
    <w:tmpl w:val="FCF83E86"/>
    <w:lvl w:ilvl="0" w:tplc="6B6A5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05C49"/>
    <w:multiLevelType w:val="hybridMultilevel"/>
    <w:tmpl w:val="1716FBBC"/>
    <w:lvl w:ilvl="0" w:tplc="F95015E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32C2"/>
    <w:rsid w:val="00006548"/>
    <w:rsid w:val="00007193"/>
    <w:rsid w:val="00016DAF"/>
    <w:rsid w:val="00023091"/>
    <w:rsid w:val="00032AE5"/>
    <w:rsid w:val="00060255"/>
    <w:rsid w:val="00072FAE"/>
    <w:rsid w:val="00073CF9"/>
    <w:rsid w:val="000760F5"/>
    <w:rsid w:val="000972CA"/>
    <w:rsid w:val="000A7B44"/>
    <w:rsid w:val="000D4C28"/>
    <w:rsid w:val="000E204C"/>
    <w:rsid w:val="00120BD8"/>
    <w:rsid w:val="00146437"/>
    <w:rsid w:val="00164BD4"/>
    <w:rsid w:val="0018357B"/>
    <w:rsid w:val="0018764D"/>
    <w:rsid w:val="00197D2A"/>
    <w:rsid w:val="001B7D19"/>
    <w:rsid w:val="001C6401"/>
    <w:rsid w:val="00217B11"/>
    <w:rsid w:val="0023073B"/>
    <w:rsid w:val="00230CCE"/>
    <w:rsid w:val="00237851"/>
    <w:rsid w:val="00255735"/>
    <w:rsid w:val="00264E49"/>
    <w:rsid w:val="00272F72"/>
    <w:rsid w:val="00277CF6"/>
    <w:rsid w:val="00277DFF"/>
    <w:rsid w:val="002A23E4"/>
    <w:rsid w:val="002A6C2A"/>
    <w:rsid w:val="002D096B"/>
    <w:rsid w:val="00321B62"/>
    <w:rsid w:val="00323785"/>
    <w:rsid w:val="00353D85"/>
    <w:rsid w:val="00364E8E"/>
    <w:rsid w:val="00371FF4"/>
    <w:rsid w:val="003770DF"/>
    <w:rsid w:val="003B6568"/>
    <w:rsid w:val="003C4CE5"/>
    <w:rsid w:val="003D2CA0"/>
    <w:rsid w:val="003D5343"/>
    <w:rsid w:val="003E038D"/>
    <w:rsid w:val="003E11AC"/>
    <w:rsid w:val="003E6FDD"/>
    <w:rsid w:val="003F1104"/>
    <w:rsid w:val="003F2C8F"/>
    <w:rsid w:val="00435B08"/>
    <w:rsid w:val="00447B4D"/>
    <w:rsid w:val="0045482D"/>
    <w:rsid w:val="004611F3"/>
    <w:rsid w:val="004638CF"/>
    <w:rsid w:val="00476C38"/>
    <w:rsid w:val="004821EF"/>
    <w:rsid w:val="00491429"/>
    <w:rsid w:val="004A6A0D"/>
    <w:rsid w:val="004C3728"/>
    <w:rsid w:val="004D2B5B"/>
    <w:rsid w:val="004E3760"/>
    <w:rsid w:val="004F6941"/>
    <w:rsid w:val="00504771"/>
    <w:rsid w:val="0052122F"/>
    <w:rsid w:val="0053622B"/>
    <w:rsid w:val="0054203C"/>
    <w:rsid w:val="0054390C"/>
    <w:rsid w:val="00545BFD"/>
    <w:rsid w:val="0056355B"/>
    <w:rsid w:val="00571960"/>
    <w:rsid w:val="005761E1"/>
    <w:rsid w:val="005968A1"/>
    <w:rsid w:val="005B1B99"/>
    <w:rsid w:val="005B4D5B"/>
    <w:rsid w:val="005C4DD5"/>
    <w:rsid w:val="005F2DE1"/>
    <w:rsid w:val="00607343"/>
    <w:rsid w:val="0061169F"/>
    <w:rsid w:val="00611E7F"/>
    <w:rsid w:val="00626830"/>
    <w:rsid w:val="00662F07"/>
    <w:rsid w:val="006630BD"/>
    <w:rsid w:val="00672119"/>
    <w:rsid w:val="0069680D"/>
    <w:rsid w:val="006A14B1"/>
    <w:rsid w:val="006C0386"/>
    <w:rsid w:val="006C27B2"/>
    <w:rsid w:val="006C3F6F"/>
    <w:rsid w:val="006F00DE"/>
    <w:rsid w:val="006F0D9B"/>
    <w:rsid w:val="006F1550"/>
    <w:rsid w:val="006F1E4E"/>
    <w:rsid w:val="006F3C68"/>
    <w:rsid w:val="00727E85"/>
    <w:rsid w:val="00755A66"/>
    <w:rsid w:val="00785300"/>
    <w:rsid w:val="007C1C06"/>
    <w:rsid w:val="007D5A12"/>
    <w:rsid w:val="008111C6"/>
    <w:rsid w:val="00814E36"/>
    <w:rsid w:val="0082523E"/>
    <w:rsid w:val="00841D6C"/>
    <w:rsid w:val="00842CF3"/>
    <w:rsid w:val="008733C9"/>
    <w:rsid w:val="008877DE"/>
    <w:rsid w:val="00896EFB"/>
    <w:rsid w:val="00897204"/>
    <w:rsid w:val="008974C4"/>
    <w:rsid w:val="008B19FA"/>
    <w:rsid w:val="008C691B"/>
    <w:rsid w:val="008C7821"/>
    <w:rsid w:val="008E5BE4"/>
    <w:rsid w:val="008F0442"/>
    <w:rsid w:val="00900519"/>
    <w:rsid w:val="009059AE"/>
    <w:rsid w:val="00924834"/>
    <w:rsid w:val="0095453D"/>
    <w:rsid w:val="00957621"/>
    <w:rsid w:val="0096747D"/>
    <w:rsid w:val="00974BA3"/>
    <w:rsid w:val="0098004C"/>
    <w:rsid w:val="00980F28"/>
    <w:rsid w:val="009818A5"/>
    <w:rsid w:val="00985F4B"/>
    <w:rsid w:val="009D25D0"/>
    <w:rsid w:val="009E06D3"/>
    <w:rsid w:val="00A05621"/>
    <w:rsid w:val="00A16D4A"/>
    <w:rsid w:val="00A431A6"/>
    <w:rsid w:val="00A60EE2"/>
    <w:rsid w:val="00A632C2"/>
    <w:rsid w:val="00A87CD8"/>
    <w:rsid w:val="00A87FC6"/>
    <w:rsid w:val="00AB346D"/>
    <w:rsid w:val="00AC2FA7"/>
    <w:rsid w:val="00AD1E10"/>
    <w:rsid w:val="00AD7793"/>
    <w:rsid w:val="00AE7C06"/>
    <w:rsid w:val="00AF5C00"/>
    <w:rsid w:val="00B07F7E"/>
    <w:rsid w:val="00B24A81"/>
    <w:rsid w:val="00B41670"/>
    <w:rsid w:val="00B438E3"/>
    <w:rsid w:val="00B6199B"/>
    <w:rsid w:val="00B82CCD"/>
    <w:rsid w:val="00B93282"/>
    <w:rsid w:val="00BB5FC7"/>
    <w:rsid w:val="00BC7ED9"/>
    <w:rsid w:val="00BE31B4"/>
    <w:rsid w:val="00C0226F"/>
    <w:rsid w:val="00C02B40"/>
    <w:rsid w:val="00C25794"/>
    <w:rsid w:val="00C31B56"/>
    <w:rsid w:val="00C55B44"/>
    <w:rsid w:val="00C62338"/>
    <w:rsid w:val="00C726B0"/>
    <w:rsid w:val="00C74026"/>
    <w:rsid w:val="00C92E90"/>
    <w:rsid w:val="00C97C76"/>
    <w:rsid w:val="00CB29A9"/>
    <w:rsid w:val="00CC2B60"/>
    <w:rsid w:val="00CD798D"/>
    <w:rsid w:val="00CE1EEA"/>
    <w:rsid w:val="00CE63B2"/>
    <w:rsid w:val="00CE7AE4"/>
    <w:rsid w:val="00D06959"/>
    <w:rsid w:val="00D123E4"/>
    <w:rsid w:val="00D21244"/>
    <w:rsid w:val="00D42255"/>
    <w:rsid w:val="00D457FA"/>
    <w:rsid w:val="00D6094D"/>
    <w:rsid w:val="00D77A58"/>
    <w:rsid w:val="00D86745"/>
    <w:rsid w:val="00D86FA9"/>
    <w:rsid w:val="00D945A6"/>
    <w:rsid w:val="00DB06B2"/>
    <w:rsid w:val="00DB1683"/>
    <w:rsid w:val="00DC449E"/>
    <w:rsid w:val="00DE1D23"/>
    <w:rsid w:val="00DF43BA"/>
    <w:rsid w:val="00E010F3"/>
    <w:rsid w:val="00E20303"/>
    <w:rsid w:val="00E32C60"/>
    <w:rsid w:val="00E37D82"/>
    <w:rsid w:val="00E444C0"/>
    <w:rsid w:val="00E53EDA"/>
    <w:rsid w:val="00E57BE6"/>
    <w:rsid w:val="00E6210D"/>
    <w:rsid w:val="00E63926"/>
    <w:rsid w:val="00E67794"/>
    <w:rsid w:val="00E73169"/>
    <w:rsid w:val="00E907CD"/>
    <w:rsid w:val="00EA6E52"/>
    <w:rsid w:val="00F100FA"/>
    <w:rsid w:val="00F144F2"/>
    <w:rsid w:val="00F14D79"/>
    <w:rsid w:val="00F1525C"/>
    <w:rsid w:val="00F20D0A"/>
    <w:rsid w:val="00F26151"/>
    <w:rsid w:val="00F26AFE"/>
    <w:rsid w:val="00F4076F"/>
    <w:rsid w:val="00F42F8C"/>
    <w:rsid w:val="00F548AC"/>
    <w:rsid w:val="00F574E8"/>
    <w:rsid w:val="00F57E6A"/>
    <w:rsid w:val="00F60B80"/>
    <w:rsid w:val="00F87161"/>
    <w:rsid w:val="00FA1252"/>
    <w:rsid w:val="00FA46B4"/>
    <w:rsid w:val="00FB2ECF"/>
    <w:rsid w:val="00FB37DE"/>
    <w:rsid w:val="00FC0B6B"/>
    <w:rsid w:val="00FF0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32C2"/>
    <w:pPr>
      <w:ind w:left="720"/>
      <w:contextualSpacing/>
    </w:pPr>
  </w:style>
  <w:style w:type="paragraph" w:customStyle="1" w:styleId="ConsNormal">
    <w:name w:val="ConsNormal"/>
    <w:rsid w:val="00A16D4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F42F8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1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E9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60B80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8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0442"/>
  </w:style>
  <w:style w:type="paragraph" w:styleId="ac">
    <w:name w:val="footer"/>
    <w:basedOn w:val="a"/>
    <w:link w:val="ad"/>
    <w:uiPriority w:val="99"/>
    <w:unhideWhenUsed/>
    <w:rsid w:val="008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0442"/>
  </w:style>
  <w:style w:type="paragraph" w:customStyle="1" w:styleId="consplusnormal">
    <w:name w:val="consplusnormal"/>
    <w:basedOn w:val="a"/>
    <w:rsid w:val="008F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8F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0760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D596-EDEC-4B4C-9381-837BFB7D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Комп111</cp:lastModifiedBy>
  <cp:revision>6</cp:revision>
  <cp:lastPrinted>2019-02-14T13:26:00Z</cp:lastPrinted>
  <dcterms:created xsi:type="dcterms:W3CDTF">2021-01-19T06:43:00Z</dcterms:created>
  <dcterms:modified xsi:type="dcterms:W3CDTF">2021-01-27T09:31:00Z</dcterms:modified>
</cp:coreProperties>
</file>