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rmalTable"/>
        <w:tblW w:w="0" w:type="auto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E37CB6" w:rsidTr="00E37CB6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CB6" w:rsidRDefault="00E37CB6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Утв. приказом Минфина РФ </w:t>
            </w:r>
            <w:r>
              <w:rPr>
                <w:rFonts w:ascii="Times New Roman" w:eastAsia="Times New Roman" w:hAnsi="Times New Roman"/>
                <w:sz w:val="20"/>
              </w:rPr>
              <w:br/>
              <w:t xml:space="preserve">от 28 декабря 2010 г. № 191н </w:t>
            </w:r>
            <w:r>
              <w:rPr>
                <w:rFonts w:ascii="Times New Roman" w:eastAsia="Times New Roman" w:hAnsi="Times New Roman"/>
                <w:sz w:val="20"/>
              </w:rPr>
              <w:br/>
            </w:r>
            <w:r>
              <w:rPr>
                <w:rFonts w:ascii="Times New Roman" w:eastAsia="Times New Roman" w:hAnsi="Times New Roman"/>
                <w:i/>
                <w:sz w:val="20"/>
              </w:rPr>
              <w:t>(в ред. от 16 ноября 2016 г.)</w:t>
            </w:r>
          </w:p>
        </w:tc>
      </w:tr>
    </w:tbl>
    <w:p w:rsidR="00E37CB6" w:rsidRDefault="00E37CB6" w:rsidP="00E37CB6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vanish/>
          <w:sz w:val="24"/>
        </w:rPr>
        <w:t> </w:t>
      </w:r>
    </w:p>
    <w:tbl>
      <w:tblPr>
        <w:tblStyle w:val="NormalTable"/>
        <w:tblW w:w="9580" w:type="dxa"/>
        <w:tblInd w:w="93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1"/>
        <w:gridCol w:w="228"/>
        <w:gridCol w:w="1538"/>
        <w:gridCol w:w="1723"/>
      </w:tblGrid>
      <w:tr w:rsidR="00E37CB6" w:rsidTr="00E37CB6">
        <w:trPr>
          <w:trHeight w:val="27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CB6" w:rsidRDefault="00E37CB6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ПОЯСНИТЕЛЬНАЯ ЗАПИСКА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CB6" w:rsidRDefault="00E37CB6">
            <w:pPr>
              <w:rPr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CB6" w:rsidRDefault="00E37CB6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CB6" w:rsidRDefault="00E37CB6">
            <w:pPr>
              <w:rPr>
                <w:sz w:val="24"/>
              </w:rPr>
            </w:pPr>
          </w:p>
        </w:tc>
      </w:tr>
      <w:tr w:rsidR="00E37CB6" w:rsidTr="00E37CB6">
        <w:trPr>
          <w:trHeight w:val="255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CB6" w:rsidRDefault="00E37CB6">
            <w:pPr>
              <w:rPr>
                <w:sz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CB6" w:rsidRDefault="00E37CB6">
            <w:pPr>
              <w:rPr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CB6" w:rsidRDefault="00E37CB6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CB6" w:rsidRDefault="00E37CB6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КОДЫ</w:t>
            </w:r>
          </w:p>
        </w:tc>
      </w:tr>
      <w:tr w:rsidR="00E37CB6" w:rsidTr="00E37CB6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CB6" w:rsidRDefault="00E37CB6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CB6" w:rsidRDefault="00E37CB6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Форма по ОКУД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CB6" w:rsidRDefault="00E37CB6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0503160</w:t>
            </w:r>
          </w:p>
        </w:tc>
      </w:tr>
      <w:tr w:rsidR="00E37CB6" w:rsidTr="00E37CB6">
        <w:trPr>
          <w:trHeight w:val="28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CB6" w:rsidRDefault="00E37CB6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                          на   1 января 2020 г.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CB6" w:rsidRDefault="00E37CB6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 Дата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CB6" w:rsidRDefault="00E37CB6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01.01.2020</w:t>
            </w:r>
          </w:p>
        </w:tc>
      </w:tr>
      <w:tr w:rsidR="00E37CB6" w:rsidTr="00E37CB6">
        <w:trPr>
          <w:trHeight w:val="30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CB6" w:rsidRDefault="00E37CB6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Главный распорядитель, распорядитель,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CB6" w:rsidRDefault="00E37CB6">
            <w:pPr>
              <w:rPr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CB6" w:rsidRDefault="00E37CB6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CB6" w:rsidRDefault="00E37CB6">
            <w:pPr>
              <w:rPr>
                <w:sz w:val="24"/>
              </w:rPr>
            </w:pPr>
          </w:p>
        </w:tc>
      </w:tr>
      <w:tr w:rsidR="00E37CB6" w:rsidTr="00E37CB6">
        <w:trPr>
          <w:trHeight w:val="195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CB6" w:rsidRDefault="00E37CB6">
            <w:pPr>
              <w:spacing w:line="195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получатель бюджетных средств, главный администратор,  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CB6" w:rsidRDefault="00E37CB6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CB6" w:rsidRDefault="00E37CB6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CB6" w:rsidRDefault="00E37CB6">
            <w:pPr>
              <w:rPr>
                <w:sz w:val="20"/>
              </w:rPr>
            </w:pPr>
          </w:p>
        </w:tc>
      </w:tr>
      <w:tr w:rsidR="00E37CB6" w:rsidTr="00E37CB6">
        <w:trPr>
          <w:trHeight w:val="195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CB6" w:rsidRDefault="00E37CB6">
            <w:pPr>
              <w:spacing w:line="195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администратор доходов бюджета,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CB6" w:rsidRDefault="00E37CB6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CB6" w:rsidRDefault="00E37CB6">
            <w:pPr>
              <w:spacing w:line="195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по ОКПО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CB6" w:rsidRDefault="00E37CB6">
            <w:pPr>
              <w:rPr>
                <w:sz w:val="20"/>
              </w:rPr>
            </w:pPr>
          </w:p>
        </w:tc>
      </w:tr>
      <w:tr w:rsidR="00E37CB6" w:rsidTr="00E37CB6">
        <w:trPr>
          <w:trHeight w:val="195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CB6" w:rsidRDefault="00E37CB6">
            <w:pPr>
              <w:spacing w:line="195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главный администратор, администратор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CB6" w:rsidRDefault="00E37CB6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CB6" w:rsidRDefault="00E37CB6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CB6" w:rsidRDefault="00E37CB6">
            <w:pPr>
              <w:rPr>
                <w:sz w:val="20"/>
              </w:rPr>
            </w:pPr>
          </w:p>
        </w:tc>
      </w:tr>
      <w:tr w:rsidR="00E37CB6" w:rsidTr="00E37CB6">
        <w:trPr>
          <w:trHeight w:val="195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CB6" w:rsidRDefault="00E37CB6">
            <w:pPr>
              <w:spacing w:line="195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администратор источников финансирования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CB6" w:rsidRDefault="00E37CB6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CB6" w:rsidRDefault="00E37CB6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CB6" w:rsidRDefault="00E37CB6">
            <w:pPr>
              <w:rPr>
                <w:sz w:val="20"/>
              </w:rPr>
            </w:pPr>
          </w:p>
        </w:tc>
      </w:tr>
      <w:tr w:rsidR="00E37CB6" w:rsidTr="00E37CB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CB6" w:rsidRDefault="00E37CB6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дефицита бюджета </w:t>
            </w:r>
            <w:proofErr w:type="spellStart"/>
            <w:r>
              <w:rPr>
                <w:rFonts w:ascii="Times New Roman" w:eastAsia="Times New Roman" w:hAnsi="Times New Roman"/>
                <w:sz w:val="18"/>
                <w:u w:val="single"/>
              </w:rPr>
              <w:t>Криниченское</w:t>
            </w:r>
            <w:proofErr w:type="spellEnd"/>
            <w:r>
              <w:rPr>
                <w:rFonts w:ascii="Times New Roman" w:eastAsia="Times New Roman" w:hAnsi="Times New Roman"/>
                <w:sz w:val="18"/>
                <w:u w:val="single"/>
              </w:rPr>
              <w:t xml:space="preserve"> сельское поселение</w:t>
            </w:r>
            <w:r>
              <w:rPr>
                <w:rFonts w:ascii="Times New Roman" w:eastAsia="Times New Roman" w:hAnsi="Times New Roman"/>
                <w:sz w:val="18"/>
              </w:rPr>
              <w:t>         </w:t>
            </w:r>
          </w:p>
          <w:p w:rsidR="00E37CB6" w:rsidRDefault="00E37CB6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CB6" w:rsidRDefault="00E37CB6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Глава по БК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CB6" w:rsidRDefault="00E37CB6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914</w:t>
            </w:r>
          </w:p>
        </w:tc>
      </w:tr>
      <w:tr w:rsidR="00E37CB6" w:rsidTr="00E37CB6">
        <w:trPr>
          <w:trHeight w:val="28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CB6" w:rsidRDefault="00E37CB6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Наименование бюджета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CB6" w:rsidRDefault="00E37CB6">
            <w:pPr>
              <w:rPr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CB6" w:rsidRDefault="00E37CB6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CB6" w:rsidRDefault="00E37CB6">
            <w:pPr>
              <w:rPr>
                <w:sz w:val="24"/>
              </w:rPr>
            </w:pPr>
          </w:p>
        </w:tc>
      </w:tr>
      <w:tr w:rsidR="00E37CB6" w:rsidTr="00E37CB6">
        <w:trPr>
          <w:trHeight w:val="21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CB6" w:rsidRDefault="00E37CB6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(публично-правового образования) </w:t>
            </w:r>
            <w:r>
              <w:rPr>
                <w:rFonts w:ascii="Times New Roman" w:eastAsia="Times New Roman" w:hAnsi="Times New Roman"/>
                <w:sz w:val="18"/>
                <w:u w:val="single"/>
              </w:rPr>
              <w:t>Бюджет сельских поселений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</w:p>
          <w:p w:rsidR="00E37CB6" w:rsidRDefault="00E37CB6">
            <w:pPr>
              <w:spacing w:line="21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  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CB6" w:rsidRDefault="00E37CB6">
            <w:pPr>
              <w:spacing w:line="21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по ОКТМО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CB6" w:rsidRDefault="00E37CB6">
            <w:pPr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5"/>
              </w:rPr>
              <w:t>20631448</w:t>
            </w:r>
          </w:p>
        </w:tc>
      </w:tr>
      <w:tr w:rsidR="00E37CB6" w:rsidTr="00E37CB6">
        <w:trPr>
          <w:trHeight w:val="315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CB6" w:rsidRDefault="00E37CB6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Периодичность:    месячная, квартальная, годовая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CB6" w:rsidRDefault="00E37CB6">
            <w:pPr>
              <w:rPr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CB6" w:rsidRDefault="00E37CB6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CB6" w:rsidRDefault="00E37CB6">
            <w:pPr>
              <w:rPr>
                <w:sz w:val="24"/>
              </w:rPr>
            </w:pPr>
          </w:p>
        </w:tc>
      </w:tr>
      <w:tr w:rsidR="00E37CB6" w:rsidTr="00E37CB6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CB6" w:rsidRDefault="00E37CB6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Единица измерения: руб.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CB6" w:rsidRDefault="00E37CB6">
            <w:pPr>
              <w:rPr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CB6" w:rsidRDefault="00E37CB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    по ОКЕИ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CB6" w:rsidRDefault="00E37CB6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8"/>
              </w:rPr>
              <w:t>383</w:t>
            </w:r>
          </w:p>
        </w:tc>
      </w:tr>
      <w:tr w:rsidR="00E37CB6" w:rsidTr="00E37CB6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CB6" w:rsidRDefault="00E37CB6">
            <w:pPr>
              <w:rPr>
                <w:sz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CB6" w:rsidRDefault="00E37CB6">
            <w:pPr>
              <w:rPr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CB6" w:rsidRDefault="00E37CB6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CB6" w:rsidRDefault="00E37CB6">
            <w:pPr>
              <w:rPr>
                <w:sz w:val="24"/>
              </w:rPr>
            </w:pPr>
          </w:p>
        </w:tc>
      </w:tr>
      <w:tr w:rsidR="00E37CB6" w:rsidTr="00E37CB6">
        <w:trPr>
          <w:trHeight w:val="28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CB6" w:rsidRDefault="00E37CB6">
            <w:pPr>
              <w:rPr>
                <w:sz w:val="24"/>
              </w:rPr>
            </w:pPr>
          </w:p>
        </w:tc>
      </w:tr>
    </w:tbl>
    <w:p w:rsidR="00E37CB6" w:rsidRDefault="00E37CB6" w:rsidP="00E37CB6">
      <w:pPr>
        <w:jc w:val="center"/>
      </w:pPr>
      <w:r>
        <w:rPr>
          <w:color w:val="000000"/>
        </w:rPr>
        <w:t> </w:t>
      </w:r>
    </w:p>
    <w:p w:rsidR="00E37CB6" w:rsidRDefault="00E37CB6" w:rsidP="00E37CB6">
      <w:r>
        <w:rPr>
          <w:color w:val="000000"/>
        </w:rPr>
        <w:t>              </w:t>
      </w:r>
      <w:r>
        <w:rPr>
          <w:rFonts w:ascii="Arial" w:eastAsia="Arial" w:hAnsi="Arial"/>
          <w:color w:val="000000"/>
        </w:rPr>
        <w:t xml:space="preserve">Администрация </w:t>
      </w:r>
      <w:proofErr w:type="spellStart"/>
      <w:r>
        <w:rPr>
          <w:rFonts w:ascii="Arial" w:eastAsia="Arial" w:hAnsi="Arial"/>
          <w:color w:val="000000"/>
        </w:rPr>
        <w:t>Криниченского</w:t>
      </w:r>
      <w:proofErr w:type="spellEnd"/>
      <w:r>
        <w:rPr>
          <w:rFonts w:ascii="Arial" w:eastAsia="Arial" w:hAnsi="Arial"/>
          <w:color w:val="000000"/>
        </w:rPr>
        <w:t xml:space="preserve"> сельского поселения осуществляет свою деятельность в соответствии с законодательными и нормативными актами Российской Федерации и Воронежской области, решениями Совета народных депутатов, постановлениями и распоряжениями главы </w:t>
      </w:r>
      <w:proofErr w:type="spellStart"/>
      <w:r>
        <w:rPr>
          <w:rFonts w:ascii="Arial" w:eastAsia="Arial" w:hAnsi="Arial"/>
          <w:color w:val="000000"/>
        </w:rPr>
        <w:t>Криниченского</w:t>
      </w:r>
      <w:proofErr w:type="spellEnd"/>
      <w:r>
        <w:rPr>
          <w:rFonts w:ascii="Arial" w:eastAsia="Arial" w:hAnsi="Arial"/>
          <w:color w:val="000000"/>
        </w:rPr>
        <w:t xml:space="preserve"> сельского поселения, Уставом </w:t>
      </w:r>
      <w:proofErr w:type="spellStart"/>
      <w:r>
        <w:rPr>
          <w:rFonts w:ascii="Arial" w:eastAsia="Arial" w:hAnsi="Arial"/>
          <w:color w:val="000000"/>
        </w:rPr>
        <w:t>Криниченского</w:t>
      </w:r>
      <w:proofErr w:type="spellEnd"/>
      <w:r>
        <w:rPr>
          <w:rFonts w:ascii="Arial" w:eastAsia="Arial" w:hAnsi="Arial"/>
          <w:color w:val="000000"/>
        </w:rPr>
        <w:t xml:space="preserve"> сельского поселения, утвержденным Постановлением  </w:t>
      </w:r>
      <w:proofErr w:type="spellStart"/>
      <w:r>
        <w:rPr>
          <w:rFonts w:ascii="Arial" w:eastAsia="Arial" w:hAnsi="Arial"/>
          <w:color w:val="000000"/>
        </w:rPr>
        <w:t>Криниченского</w:t>
      </w:r>
      <w:proofErr w:type="spellEnd"/>
      <w:r>
        <w:rPr>
          <w:rFonts w:ascii="Arial" w:eastAsia="Arial" w:hAnsi="Arial"/>
          <w:color w:val="000000"/>
        </w:rPr>
        <w:t xml:space="preserve"> сельского поселения №22 от 08.12.2004г. </w:t>
      </w:r>
    </w:p>
    <w:p w:rsidR="00E37CB6" w:rsidRDefault="00E37CB6" w:rsidP="00E37CB6">
      <w:r>
        <w:rPr>
          <w:rFonts w:ascii="Arial" w:eastAsia="Arial" w:hAnsi="Arial"/>
          <w:color w:val="000000"/>
        </w:rPr>
        <w:t> </w:t>
      </w:r>
    </w:p>
    <w:p w:rsidR="00E37CB6" w:rsidRDefault="00E37CB6" w:rsidP="00E37CB6">
      <w:r>
        <w:rPr>
          <w:rFonts w:ascii="Arial" w:eastAsia="Arial" w:hAnsi="Arial"/>
          <w:color w:val="000000"/>
        </w:rPr>
        <w:t xml:space="preserve">              Главный распорядитель средств бюджета – администрация </w:t>
      </w:r>
      <w:proofErr w:type="spellStart"/>
      <w:r>
        <w:rPr>
          <w:rFonts w:ascii="Arial" w:eastAsia="Arial" w:hAnsi="Arial"/>
          <w:color w:val="000000"/>
        </w:rPr>
        <w:t>Криниченского</w:t>
      </w:r>
      <w:proofErr w:type="spellEnd"/>
      <w:r>
        <w:rPr>
          <w:rFonts w:ascii="Arial" w:eastAsia="Arial" w:hAnsi="Arial"/>
          <w:color w:val="000000"/>
        </w:rPr>
        <w:t xml:space="preserve"> сельского поселения. Получатель средств из бюджета </w:t>
      </w:r>
      <w:proofErr w:type="spellStart"/>
      <w:r>
        <w:rPr>
          <w:rFonts w:ascii="Arial" w:eastAsia="Arial" w:hAnsi="Arial"/>
          <w:color w:val="000000"/>
        </w:rPr>
        <w:t>Криниченского</w:t>
      </w:r>
      <w:proofErr w:type="spellEnd"/>
      <w:r>
        <w:rPr>
          <w:rFonts w:ascii="Arial" w:eastAsia="Arial" w:hAnsi="Arial"/>
          <w:color w:val="000000"/>
        </w:rPr>
        <w:t xml:space="preserve"> сельского поселения -  Муниципальное казенное учреждение культуры «</w:t>
      </w:r>
      <w:proofErr w:type="spellStart"/>
      <w:r>
        <w:rPr>
          <w:rFonts w:ascii="Arial" w:eastAsia="Arial" w:hAnsi="Arial"/>
          <w:color w:val="000000"/>
        </w:rPr>
        <w:t>Криниченский</w:t>
      </w:r>
      <w:proofErr w:type="spellEnd"/>
      <w:r>
        <w:rPr>
          <w:rFonts w:ascii="Arial" w:eastAsia="Arial" w:hAnsi="Arial"/>
          <w:color w:val="000000"/>
        </w:rPr>
        <w:t xml:space="preserve"> сельский культурно-досуговый центр».</w:t>
      </w:r>
    </w:p>
    <w:p w:rsidR="00E37CB6" w:rsidRDefault="00E37CB6" w:rsidP="00E37CB6">
      <w:r>
        <w:rPr>
          <w:rFonts w:ascii="Arial" w:eastAsia="Arial" w:hAnsi="Arial"/>
          <w:color w:val="000000"/>
        </w:rPr>
        <w:t> </w:t>
      </w:r>
    </w:p>
    <w:p w:rsidR="00E37CB6" w:rsidRDefault="00E37CB6" w:rsidP="00E37CB6">
      <w:r>
        <w:rPr>
          <w:rFonts w:ascii="Arial" w:eastAsia="Arial" w:hAnsi="Arial"/>
          <w:color w:val="000000"/>
        </w:rPr>
        <w:t>              Организация бюджетного учета производится согласно инструкции по бюджетному учету, утвержденной приказом Минфина от 28.12.2010г. № 191-н и другими нормативно-правовыми актами и на основании положения об учетной политике администрации.</w:t>
      </w:r>
    </w:p>
    <w:p w:rsidR="00E37CB6" w:rsidRDefault="00E37CB6" w:rsidP="00E37CB6">
      <w:r>
        <w:rPr>
          <w:rFonts w:ascii="Arial" w:eastAsia="Arial" w:hAnsi="Arial"/>
          <w:color w:val="000000"/>
        </w:rPr>
        <w:t> </w:t>
      </w:r>
    </w:p>
    <w:p w:rsidR="00E37CB6" w:rsidRDefault="00E37CB6" w:rsidP="00E37CB6">
      <w:r>
        <w:rPr>
          <w:rFonts w:ascii="Arial" w:eastAsia="Arial" w:hAnsi="Arial"/>
          <w:color w:val="000000"/>
        </w:rPr>
        <w:t xml:space="preserve">              Цель деятельности администрации </w:t>
      </w:r>
      <w:proofErr w:type="spellStart"/>
      <w:r>
        <w:rPr>
          <w:rFonts w:ascii="Arial" w:eastAsia="Arial" w:hAnsi="Arial"/>
          <w:color w:val="000000"/>
        </w:rPr>
        <w:t>Криниченского</w:t>
      </w:r>
      <w:proofErr w:type="spellEnd"/>
      <w:r>
        <w:rPr>
          <w:rFonts w:ascii="Arial" w:eastAsia="Arial" w:hAnsi="Arial"/>
          <w:color w:val="000000"/>
        </w:rPr>
        <w:t xml:space="preserve"> сельского поселения – решение вопросов местного значения, т.е. вопросы непосредственного обеспечения жизнедеятельности поселения, решение которых осуществляется органами местного самоуправления самостоятельно согласно Федеральному Закону № 131-ФЗ ст.14.</w:t>
      </w:r>
    </w:p>
    <w:p w:rsidR="00E37CB6" w:rsidRDefault="00E37CB6" w:rsidP="00E37CB6">
      <w:r>
        <w:rPr>
          <w:rFonts w:ascii="Arial" w:eastAsia="Arial" w:hAnsi="Arial"/>
          <w:color w:val="000000"/>
        </w:rPr>
        <w:t> </w:t>
      </w:r>
    </w:p>
    <w:p w:rsidR="00E37CB6" w:rsidRDefault="00E37CB6" w:rsidP="00E37CB6">
      <w:r>
        <w:rPr>
          <w:rFonts w:ascii="Arial" w:eastAsia="Arial" w:hAnsi="Arial"/>
          <w:color w:val="000000"/>
        </w:rPr>
        <w:t xml:space="preserve">               Расходы администрации </w:t>
      </w:r>
      <w:proofErr w:type="spellStart"/>
      <w:r>
        <w:rPr>
          <w:rFonts w:ascii="Arial" w:eastAsia="Arial" w:hAnsi="Arial"/>
          <w:color w:val="000000"/>
        </w:rPr>
        <w:t>Криниченского</w:t>
      </w:r>
      <w:proofErr w:type="spellEnd"/>
      <w:r>
        <w:rPr>
          <w:rFonts w:ascii="Arial" w:eastAsia="Arial" w:hAnsi="Arial"/>
          <w:color w:val="000000"/>
        </w:rPr>
        <w:t xml:space="preserve"> сельского поселения производились по следующим разделам классификации расходов бюджета:</w:t>
      </w:r>
    </w:p>
    <w:p w:rsidR="00E37CB6" w:rsidRDefault="00E37CB6" w:rsidP="00E37CB6">
      <w:r>
        <w:rPr>
          <w:rFonts w:ascii="Arial" w:eastAsia="Arial" w:hAnsi="Arial"/>
          <w:color w:val="000000"/>
        </w:rPr>
        <w:t>01 – Общегосударственные вопросы</w:t>
      </w:r>
    </w:p>
    <w:p w:rsidR="00E37CB6" w:rsidRDefault="00E37CB6" w:rsidP="00E37CB6">
      <w:r>
        <w:rPr>
          <w:rFonts w:ascii="Arial" w:eastAsia="Arial" w:hAnsi="Arial"/>
          <w:color w:val="000000"/>
        </w:rPr>
        <w:t>02 – Национальная оборона</w:t>
      </w:r>
    </w:p>
    <w:p w:rsidR="00E37CB6" w:rsidRDefault="00E37CB6" w:rsidP="00E37CB6">
      <w:r>
        <w:rPr>
          <w:rFonts w:ascii="Arial" w:eastAsia="Arial" w:hAnsi="Arial"/>
          <w:color w:val="000000"/>
        </w:rPr>
        <w:t>04 – Национальная экономика</w:t>
      </w:r>
    </w:p>
    <w:p w:rsidR="00E37CB6" w:rsidRDefault="00E37CB6" w:rsidP="00E37CB6">
      <w:r>
        <w:rPr>
          <w:rFonts w:ascii="Arial" w:eastAsia="Arial" w:hAnsi="Arial"/>
          <w:color w:val="000000"/>
        </w:rPr>
        <w:t>05 – Жилищно-коммунальное хозяйство</w:t>
      </w:r>
    </w:p>
    <w:p w:rsidR="00E37CB6" w:rsidRDefault="00E37CB6" w:rsidP="00E37CB6">
      <w:r>
        <w:rPr>
          <w:rFonts w:ascii="Arial" w:eastAsia="Arial" w:hAnsi="Arial"/>
          <w:color w:val="000000"/>
        </w:rPr>
        <w:t>08 – Культура и кинематография</w:t>
      </w:r>
    </w:p>
    <w:p w:rsidR="00E37CB6" w:rsidRDefault="00E37CB6" w:rsidP="00E37CB6">
      <w:r>
        <w:rPr>
          <w:rFonts w:ascii="Arial" w:eastAsia="Arial" w:hAnsi="Arial"/>
          <w:color w:val="000000"/>
        </w:rPr>
        <w:t>10 – Социальная политика</w:t>
      </w:r>
    </w:p>
    <w:p w:rsidR="00E37CB6" w:rsidRDefault="00E37CB6" w:rsidP="00E37CB6">
      <w:r>
        <w:rPr>
          <w:rFonts w:ascii="Arial" w:eastAsia="Arial" w:hAnsi="Arial"/>
          <w:color w:val="000000"/>
        </w:rPr>
        <w:t>13 – Обслуживание государственного и муниципального долга</w:t>
      </w:r>
    </w:p>
    <w:p w:rsidR="00E37CB6" w:rsidRDefault="00E37CB6" w:rsidP="00E37CB6">
      <w:r>
        <w:rPr>
          <w:rFonts w:ascii="Arial" w:eastAsia="Arial" w:hAnsi="Arial"/>
          <w:color w:val="000000"/>
        </w:rPr>
        <w:t> </w:t>
      </w:r>
    </w:p>
    <w:p w:rsidR="00E37CB6" w:rsidRDefault="00E37CB6" w:rsidP="00E37CB6">
      <w:r>
        <w:rPr>
          <w:rFonts w:ascii="Arial" w:eastAsia="Arial" w:hAnsi="Arial"/>
          <w:color w:val="000000"/>
        </w:rPr>
        <w:lastRenderedPageBreak/>
        <w:t xml:space="preserve">               В течение 2019 года было произведено передвижение ассигнований по бюджетным подведомственным учреждениям согласно распоряжениям главы </w:t>
      </w:r>
      <w:proofErr w:type="spellStart"/>
      <w:r>
        <w:rPr>
          <w:rFonts w:ascii="Arial" w:eastAsia="Arial" w:hAnsi="Arial"/>
          <w:color w:val="000000"/>
        </w:rPr>
        <w:t>Криниченского</w:t>
      </w:r>
      <w:proofErr w:type="spellEnd"/>
      <w:r>
        <w:rPr>
          <w:rFonts w:ascii="Arial" w:eastAsia="Arial" w:hAnsi="Arial"/>
          <w:color w:val="000000"/>
        </w:rPr>
        <w:t xml:space="preserve"> сельского поселения в связи с уточнением доходной и расходной части бюджета, недостатком бюджетных средств по одним экономическим статьям бюджетной классификации и в связи с экономией средств по другим статьям бюджета.</w:t>
      </w:r>
    </w:p>
    <w:p w:rsidR="00E37CB6" w:rsidRDefault="00E37CB6" w:rsidP="00E37CB6">
      <w:r>
        <w:rPr>
          <w:rFonts w:ascii="Arial" w:eastAsia="Arial" w:hAnsi="Arial"/>
          <w:color w:val="000000"/>
        </w:rPr>
        <w:t> </w:t>
      </w:r>
    </w:p>
    <w:p w:rsidR="00E37CB6" w:rsidRDefault="00E37CB6" w:rsidP="00E37CB6">
      <w:r>
        <w:rPr>
          <w:rFonts w:ascii="Arial" w:eastAsia="Arial" w:hAnsi="Arial"/>
          <w:color w:val="000000"/>
        </w:rPr>
        <w:t>                                             </w:t>
      </w:r>
    </w:p>
    <w:p w:rsidR="00E37CB6" w:rsidRDefault="00E37CB6" w:rsidP="00E37CB6">
      <w:r>
        <w:rPr>
          <w:rFonts w:ascii="Arial" w:eastAsia="Arial" w:hAnsi="Arial"/>
          <w:color w:val="000000"/>
        </w:rPr>
        <w:t xml:space="preserve">               Поступило налоговых и неналоговых доходов бюджета без учета безвозмездных поступлений за 2019 год 2 173 646,78 рублей при утвержденном плане 2 167 845,00 рублей, т.е. на 5,8 тыс. рублей увеличение и составило 100,3% к  плану. </w:t>
      </w:r>
      <w:proofErr w:type="gramStart"/>
      <w:r>
        <w:rPr>
          <w:rFonts w:ascii="Arial" w:eastAsia="Arial" w:hAnsi="Arial"/>
          <w:color w:val="000000"/>
        </w:rPr>
        <w:t xml:space="preserve">Безвозмездных поступлений в сумме 8 234 842,04рублей, в </w:t>
      </w:r>
      <w:proofErr w:type="spellStart"/>
      <w:r>
        <w:rPr>
          <w:rFonts w:ascii="Arial" w:eastAsia="Arial" w:hAnsi="Arial"/>
          <w:color w:val="000000"/>
        </w:rPr>
        <w:t>т.ч</w:t>
      </w:r>
      <w:proofErr w:type="spellEnd"/>
      <w:r>
        <w:rPr>
          <w:rFonts w:ascii="Arial" w:eastAsia="Arial" w:hAnsi="Arial"/>
          <w:color w:val="000000"/>
        </w:rPr>
        <w:t xml:space="preserve">. 2019 году поступили дополнительные денежные средства из федерального, областного и районного бюджетов  в сумме  2 504 458,40 рублей, в </w:t>
      </w:r>
      <w:proofErr w:type="spellStart"/>
      <w:r>
        <w:rPr>
          <w:rFonts w:ascii="Arial" w:eastAsia="Arial" w:hAnsi="Arial"/>
          <w:color w:val="000000"/>
        </w:rPr>
        <w:t>т.ч</w:t>
      </w:r>
      <w:proofErr w:type="spellEnd"/>
      <w:r>
        <w:rPr>
          <w:rFonts w:ascii="Arial" w:eastAsia="Arial" w:hAnsi="Arial"/>
          <w:color w:val="000000"/>
        </w:rPr>
        <w:t>.:</w:t>
      </w:r>
      <w:proofErr w:type="gramEnd"/>
    </w:p>
    <w:p w:rsidR="00E37CB6" w:rsidRDefault="00E37CB6" w:rsidP="00E37CB6">
      <w:pPr>
        <w:jc w:val="both"/>
      </w:pPr>
      <w:r>
        <w:rPr>
          <w:rFonts w:ascii="Arial" w:eastAsia="Arial" w:hAnsi="Arial"/>
          <w:color w:val="000000"/>
        </w:rPr>
        <w:t>-  межбюджетные трансферты из областного бюджета на финансирование мероприятий по обслуживанию сетей наружного освещения в сумме 140,6 тыс. рублей;  </w:t>
      </w:r>
    </w:p>
    <w:p w:rsidR="00E37CB6" w:rsidRDefault="00E37CB6" w:rsidP="00E37CB6">
      <w:pPr>
        <w:jc w:val="both"/>
      </w:pPr>
      <w:r>
        <w:rPr>
          <w:rFonts w:ascii="Arial" w:eastAsia="Arial" w:hAnsi="Arial"/>
          <w:color w:val="000000"/>
        </w:rPr>
        <w:t xml:space="preserve">-  межбюджетные трансферты из областного бюджета на финансирование    текущего ремонта автомобильных дорог общего пользования местного значения в сумме 2247,1 </w:t>
      </w:r>
      <w:proofErr w:type="spellStart"/>
      <w:proofErr w:type="gramStart"/>
      <w:r>
        <w:rPr>
          <w:rFonts w:ascii="Arial" w:eastAsia="Arial" w:hAnsi="Arial"/>
          <w:color w:val="000000"/>
        </w:rPr>
        <w:t>тыс</w:t>
      </w:r>
      <w:proofErr w:type="spellEnd"/>
      <w:proofErr w:type="gramEnd"/>
      <w:r>
        <w:rPr>
          <w:rFonts w:ascii="Arial" w:eastAsia="Arial" w:hAnsi="Arial"/>
          <w:color w:val="000000"/>
        </w:rPr>
        <w:t xml:space="preserve"> рублей;</w:t>
      </w:r>
    </w:p>
    <w:p w:rsidR="00E37CB6" w:rsidRDefault="00E37CB6" w:rsidP="00E37CB6">
      <w:pPr>
        <w:jc w:val="both"/>
      </w:pPr>
      <w:r>
        <w:rPr>
          <w:rFonts w:ascii="Arial" w:eastAsia="Arial" w:hAnsi="Arial"/>
          <w:color w:val="000000"/>
        </w:rPr>
        <w:t>- межбюджетные трансферты из областного бюджета на приобретение сценических костюмов для МКУК "</w:t>
      </w:r>
      <w:proofErr w:type="spellStart"/>
      <w:r>
        <w:rPr>
          <w:rFonts w:ascii="Arial" w:eastAsia="Arial" w:hAnsi="Arial"/>
          <w:color w:val="000000"/>
        </w:rPr>
        <w:t>Криниченский</w:t>
      </w:r>
      <w:proofErr w:type="spellEnd"/>
      <w:r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</w:rPr>
        <w:t>СКДЦ</w:t>
      </w:r>
      <w:proofErr w:type="gramStart"/>
      <w:r>
        <w:rPr>
          <w:rFonts w:ascii="Arial" w:eastAsia="Arial" w:hAnsi="Arial"/>
          <w:color w:val="000000"/>
        </w:rPr>
        <w:t>"в</w:t>
      </w:r>
      <w:proofErr w:type="spellEnd"/>
      <w:proofErr w:type="gramEnd"/>
      <w:r>
        <w:rPr>
          <w:rFonts w:ascii="Arial" w:eastAsia="Arial" w:hAnsi="Arial"/>
          <w:color w:val="000000"/>
        </w:rPr>
        <w:t xml:space="preserve"> сумме 30,0 </w:t>
      </w:r>
      <w:proofErr w:type="spellStart"/>
      <w:r>
        <w:rPr>
          <w:rFonts w:ascii="Arial" w:eastAsia="Arial" w:hAnsi="Arial"/>
          <w:color w:val="000000"/>
        </w:rPr>
        <w:t>тыс</w:t>
      </w:r>
      <w:proofErr w:type="spellEnd"/>
      <w:r>
        <w:rPr>
          <w:rFonts w:ascii="Arial" w:eastAsia="Arial" w:hAnsi="Arial"/>
          <w:color w:val="000000"/>
        </w:rPr>
        <w:t xml:space="preserve"> рублей.; </w:t>
      </w:r>
    </w:p>
    <w:p w:rsidR="00E37CB6" w:rsidRDefault="00E37CB6" w:rsidP="00E37CB6">
      <w:pPr>
        <w:jc w:val="both"/>
      </w:pPr>
      <w:r>
        <w:rPr>
          <w:rFonts w:ascii="Arial" w:eastAsia="Arial" w:hAnsi="Arial"/>
          <w:color w:val="000000"/>
        </w:rPr>
        <w:t>-  межбюджетные трансферты из областного бюджета на финансирование мероприятий по благоустройству территории в сумме 7,9 тыс. рублей;  </w:t>
      </w:r>
    </w:p>
    <w:p w:rsidR="00E37CB6" w:rsidRDefault="00E37CB6" w:rsidP="00E37CB6">
      <w:pPr>
        <w:jc w:val="both"/>
      </w:pPr>
      <w:r>
        <w:rPr>
          <w:rFonts w:ascii="Arial" w:eastAsia="Arial" w:hAnsi="Arial"/>
          <w:color w:val="000000"/>
        </w:rPr>
        <w:t>    </w:t>
      </w:r>
    </w:p>
    <w:p w:rsidR="00E37CB6" w:rsidRDefault="00E37CB6" w:rsidP="00E37CB6">
      <w:r>
        <w:rPr>
          <w:rFonts w:ascii="Arial" w:eastAsia="Arial" w:hAnsi="Arial"/>
          <w:color w:val="000000"/>
        </w:rPr>
        <w:t>                </w:t>
      </w:r>
    </w:p>
    <w:p w:rsidR="00E37CB6" w:rsidRDefault="00E37CB6" w:rsidP="00E37CB6">
      <w:r>
        <w:rPr>
          <w:rFonts w:ascii="Arial" w:eastAsia="Arial" w:hAnsi="Arial"/>
          <w:color w:val="000000"/>
        </w:rPr>
        <w:t xml:space="preserve">                  Расходная часть бюджета в 2019 году составила  10 920 830,34 рублей при  утвержденном плане 11 980 636,50 рублей, включая расходы на национальную оборону 78 800 рублей. Расходы администрации </w:t>
      </w:r>
      <w:proofErr w:type="spellStart"/>
      <w:r>
        <w:rPr>
          <w:rFonts w:ascii="Arial" w:eastAsia="Arial" w:hAnsi="Arial"/>
          <w:color w:val="000000"/>
        </w:rPr>
        <w:t>Криниченского</w:t>
      </w:r>
      <w:proofErr w:type="spellEnd"/>
      <w:r>
        <w:rPr>
          <w:rFonts w:ascii="Arial" w:eastAsia="Arial" w:hAnsi="Arial"/>
          <w:color w:val="000000"/>
        </w:rPr>
        <w:t xml:space="preserve"> сельского поселения производились по следующим направлениям:</w:t>
      </w:r>
    </w:p>
    <w:p w:rsidR="00E37CB6" w:rsidRDefault="00E37CB6" w:rsidP="00E37CB6">
      <w:r>
        <w:rPr>
          <w:rFonts w:ascii="Arial" w:eastAsia="Arial" w:hAnsi="Arial"/>
          <w:color w:val="000000"/>
        </w:rPr>
        <w:t> </w:t>
      </w:r>
    </w:p>
    <w:p w:rsidR="00E37CB6" w:rsidRDefault="00E37CB6" w:rsidP="00E37CB6">
      <w:r>
        <w:rPr>
          <w:rFonts w:ascii="Arial" w:eastAsia="Arial" w:hAnsi="Arial"/>
          <w:color w:val="000000"/>
        </w:rPr>
        <w:t>Общегосударственные вопросы                   2 102 271,54</w:t>
      </w:r>
    </w:p>
    <w:p w:rsidR="00E37CB6" w:rsidRDefault="00E37CB6" w:rsidP="00E37CB6">
      <w:r>
        <w:rPr>
          <w:rFonts w:ascii="Arial" w:eastAsia="Arial" w:hAnsi="Arial"/>
          <w:color w:val="000000"/>
        </w:rPr>
        <w:t>Национальная оборона                                 78 800,00</w:t>
      </w:r>
    </w:p>
    <w:p w:rsidR="00E37CB6" w:rsidRDefault="00E37CB6" w:rsidP="00E37CB6">
      <w:r>
        <w:rPr>
          <w:rFonts w:ascii="Arial" w:eastAsia="Arial" w:hAnsi="Arial"/>
          <w:color w:val="000000"/>
        </w:rPr>
        <w:t>Национальная экономика                              2 684 860,11</w:t>
      </w:r>
    </w:p>
    <w:p w:rsidR="00E37CB6" w:rsidRDefault="00E37CB6" w:rsidP="00E37CB6">
      <w:r>
        <w:rPr>
          <w:rFonts w:ascii="Arial" w:eastAsia="Arial" w:hAnsi="Arial"/>
          <w:color w:val="000000"/>
        </w:rPr>
        <w:t xml:space="preserve">в </w:t>
      </w:r>
      <w:proofErr w:type="spellStart"/>
      <w:r>
        <w:rPr>
          <w:rFonts w:ascii="Arial" w:eastAsia="Arial" w:hAnsi="Arial"/>
          <w:color w:val="000000"/>
        </w:rPr>
        <w:t>т.ч</w:t>
      </w:r>
      <w:proofErr w:type="spellEnd"/>
      <w:r>
        <w:rPr>
          <w:rFonts w:ascii="Arial" w:eastAsia="Arial" w:hAnsi="Arial"/>
          <w:color w:val="000000"/>
        </w:rPr>
        <w:t>. муниципальный дорожный фонд         2 441 213,89</w:t>
      </w:r>
    </w:p>
    <w:p w:rsidR="00E37CB6" w:rsidRDefault="00E37CB6" w:rsidP="00E37CB6">
      <w:r>
        <w:rPr>
          <w:rFonts w:ascii="Arial" w:eastAsia="Arial" w:hAnsi="Arial"/>
          <w:color w:val="000000"/>
        </w:rPr>
        <w:t>ЖКХ                                                                 882 344,10</w:t>
      </w:r>
    </w:p>
    <w:p w:rsidR="00E37CB6" w:rsidRDefault="00E37CB6" w:rsidP="00E37CB6">
      <w:r>
        <w:rPr>
          <w:rFonts w:ascii="Arial" w:eastAsia="Arial" w:hAnsi="Arial"/>
          <w:color w:val="000000"/>
        </w:rPr>
        <w:t>Культура                                                          4 919 368,09</w:t>
      </w:r>
    </w:p>
    <w:p w:rsidR="00E37CB6" w:rsidRDefault="00E37CB6" w:rsidP="00E37CB6">
      <w:r>
        <w:rPr>
          <w:rFonts w:ascii="Arial" w:eastAsia="Arial" w:hAnsi="Arial"/>
          <w:color w:val="000000"/>
        </w:rPr>
        <w:t>Социальная политика                                     253 168,56</w:t>
      </w:r>
    </w:p>
    <w:p w:rsidR="00E37CB6" w:rsidRDefault="00E37CB6" w:rsidP="00E37CB6">
      <w:r>
        <w:rPr>
          <w:rFonts w:ascii="Arial" w:eastAsia="Arial" w:hAnsi="Arial"/>
          <w:color w:val="000000"/>
        </w:rPr>
        <w:t xml:space="preserve">Обслуживание </w:t>
      </w:r>
      <w:proofErr w:type="gramStart"/>
      <w:r>
        <w:rPr>
          <w:rFonts w:ascii="Arial" w:eastAsia="Arial" w:hAnsi="Arial"/>
          <w:color w:val="000000"/>
        </w:rPr>
        <w:t>государственного</w:t>
      </w:r>
      <w:proofErr w:type="gramEnd"/>
      <w:r>
        <w:rPr>
          <w:rFonts w:ascii="Arial" w:eastAsia="Arial" w:hAnsi="Arial"/>
          <w:color w:val="000000"/>
        </w:rPr>
        <w:t xml:space="preserve"> </w:t>
      </w:r>
    </w:p>
    <w:p w:rsidR="00E37CB6" w:rsidRDefault="00E37CB6" w:rsidP="00E37CB6">
      <w:r>
        <w:rPr>
          <w:rFonts w:ascii="Arial" w:eastAsia="Arial" w:hAnsi="Arial"/>
          <w:color w:val="000000"/>
        </w:rPr>
        <w:t>и муниципального долга                                 17,94</w:t>
      </w:r>
    </w:p>
    <w:p w:rsidR="00E37CB6" w:rsidRDefault="00E37CB6" w:rsidP="00E37CB6">
      <w:r>
        <w:rPr>
          <w:rFonts w:ascii="Arial" w:eastAsia="Arial" w:hAnsi="Arial"/>
          <w:color w:val="000000"/>
        </w:rPr>
        <w:t> </w:t>
      </w:r>
    </w:p>
    <w:p w:rsidR="00E37CB6" w:rsidRDefault="00E37CB6" w:rsidP="00E37CB6">
      <w:r>
        <w:rPr>
          <w:rFonts w:ascii="Arial" w:eastAsia="Arial" w:hAnsi="Arial"/>
          <w:color w:val="000000"/>
        </w:rPr>
        <w:t>                 Основные фонды, принадлежащие администрации сельского поселения и МКУК «</w:t>
      </w:r>
      <w:proofErr w:type="spellStart"/>
      <w:r>
        <w:rPr>
          <w:rFonts w:ascii="Arial" w:eastAsia="Arial" w:hAnsi="Arial"/>
          <w:color w:val="000000"/>
        </w:rPr>
        <w:t>Криниченский</w:t>
      </w:r>
      <w:proofErr w:type="spellEnd"/>
      <w:r>
        <w:rPr>
          <w:rFonts w:ascii="Arial" w:eastAsia="Arial" w:hAnsi="Arial"/>
          <w:color w:val="000000"/>
        </w:rPr>
        <w:t xml:space="preserve"> СКДЦ» имеют большой процент износа, например здание СДК </w:t>
      </w:r>
      <w:proofErr w:type="spellStart"/>
      <w:r>
        <w:rPr>
          <w:rFonts w:ascii="Arial" w:eastAsia="Arial" w:hAnsi="Arial"/>
          <w:color w:val="000000"/>
        </w:rPr>
        <w:t>с</w:t>
      </w:r>
      <w:proofErr w:type="gramStart"/>
      <w:r>
        <w:rPr>
          <w:rFonts w:ascii="Arial" w:eastAsia="Arial" w:hAnsi="Arial"/>
          <w:color w:val="000000"/>
        </w:rPr>
        <w:t>.Р</w:t>
      </w:r>
      <w:proofErr w:type="gramEnd"/>
      <w:r>
        <w:rPr>
          <w:rFonts w:ascii="Arial" w:eastAsia="Arial" w:hAnsi="Arial"/>
          <w:color w:val="000000"/>
        </w:rPr>
        <w:t>ыбное</w:t>
      </w:r>
      <w:proofErr w:type="spellEnd"/>
      <w:r>
        <w:rPr>
          <w:rFonts w:ascii="Arial" w:eastAsia="Arial" w:hAnsi="Arial"/>
          <w:color w:val="000000"/>
        </w:rPr>
        <w:t xml:space="preserve"> построено в 1959 году, водопроводные сети и водонапорные башни построены в 1968-1970 годах и полностью амортизированы. Все эти основные средства требуют капитального ремонта. </w:t>
      </w:r>
    </w:p>
    <w:p w:rsidR="00E37CB6" w:rsidRDefault="00E37CB6" w:rsidP="00E37CB6">
      <w:r>
        <w:rPr>
          <w:rFonts w:ascii="Arial" w:eastAsia="Arial" w:hAnsi="Arial"/>
          <w:color w:val="000000"/>
        </w:rPr>
        <w:t xml:space="preserve">За счет средств бюджета в 2019 году в целях благоустройства села расходы по уборке территории, вывозу мусора составили 56 900,30 рублей, произведен текущий ремонт системы водоотведения в </w:t>
      </w:r>
      <w:proofErr w:type="spellStart"/>
      <w:r>
        <w:rPr>
          <w:rFonts w:ascii="Arial" w:eastAsia="Arial" w:hAnsi="Arial"/>
          <w:color w:val="000000"/>
        </w:rPr>
        <w:t>п</w:t>
      </w:r>
      <w:proofErr w:type="gramStart"/>
      <w:r>
        <w:rPr>
          <w:rFonts w:ascii="Arial" w:eastAsia="Arial" w:hAnsi="Arial"/>
          <w:color w:val="000000"/>
        </w:rPr>
        <w:t>.Л</w:t>
      </w:r>
      <w:proofErr w:type="gramEnd"/>
      <w:r>
        <w:rPr>
          <w:rFonts w:ascii="Arial" w:eastAsia="Arial" w:hAnsi="Arial"/>
          <w:color w:val="000000"/>
        </w:rPr>
        <w:t>уки</w:t>
      </w:r>
      <w:proofErr w:type="spellEnd"/>
      <w:r>
        <w:rPr>
          <w:rFonts w:ascii="Arial" w:eastAsia="Arial" w:hAnsi="Arial"/>
          <w:color w:val="000000"/>
        </w:rPr>
        <w:t xml:space="preserve"> на 182 388,66 рублей, ремонт уличного освещения  на сумму 101 749,52 рубля; устранение аварийной ситуации ГТС </w:t>
      </w:r>
      <w:proofErr w:type="spellStart"/>
      <w:r>
        <w:rPr>
          <w:rFonts w:ascii="Arial" w:eastAsia="Arial" w:hAnsi="Arial"/>
          <w:color w:val="000000"/>
        </w:rPr>
        <w:t>х</w:t>
      </w:r>
      <w:proofErr w:type="gramStart"/>
      <w:r>
        <w:rPr>
          <w:rFonts w:ascii="Arial" w:eastAsia="Arial" w:hAnsi="Arial"/>
          <w:color w:val="000000"/>
        </w:rPr>
        <w:t>.Л</w:t>
      </w:r>
      <w:proofErr w:type="gramEnd"/>
      <w:r>
        <w:rPr>
          <w:rFonts w:ascii="Arial" w:eastAsia="Arial" w:hAnsi="Arial"/>
          <w:color w:val="000000"/>
        </w:rPr>
        <w:t>итвиновка</w:t>
      </w:r>
      <w:proofErr w:type="spellEnd"/>
      <w:r>
        <w:rPr>
          <w:rFonts w:ascii="Arial" w:eastAsia="Arial" w:hAnsi="Arial"/>
          <w:color w:val="000000"/>
        </w:rPr>
        <w:t xml:space="preserve"> 98 000,00 руб., ограждение гражданского кладбища </w:t>
      </w:r>
      <w:proofErr w:type="spellStart"/>
      <w:r>
        <w:rPr>
          <w:rFonts w:ascii="Arial" w:eastAsia="Arial" w:hAnsi="Arial"/>
          <w:color w:val="000000"/>
        </w:rPr>
        <w:t>х.Александровка</w:t>
      </w:r>
      <w:proofErr w:type="spellEnd"/>
      <w:r>
        <w:rPr>
          <w:rFonts w:ascii="Arial" w:eastAsia="Arial" w:hAnsi="Arial"/>
          <w:color w:val="000000"/>
        </w:rPr>
        <w:t xml:space="preserve">  на сумму 111 200,00 руб.; благоустройство территории вокруг памятника в </w:t>
      </w:r>
      <w:proofErr w:type="spellStart"/>
      <w:r>
        <w:rPr>
          <w:rFonts w:ascii="Arial" w:eastAsia="Arial" w:hAnsi="Arial"/>
          <w:color w:val="000000"/>
        </w:rPr>
        <w:t>с.Криница</w:t>
      </w:r>
      <w:proofErr w:type="spellEnd"/>
      <w:r>
        <w:rPr>
          <w:rFonts w:ascii="Arial" w:eastAsia="Arial" w:hAnsi="Arial"/>
          <w:color w:val="000000"/>
        </w:rPr>
        <w:t xml:space="preserve"> участникам-землякам в Вов на сумму 62 830,00 руб.</w:t>
      </w:r>
    </w:p>
    <w:p w:rsidR="00E37CB6" w:rsidRDefault="00E37CB6" w:rsidP="00E37CB6">
      <w:r>
        <w:rPr>
          <w:rFonts w:ascii="Arial" w:eastAsia="Arial" w:hAnsi="Arial"/>
          <w:color w:val="000000"/>
        </w:rPr>
        <w:t xml:space="preserve">За счет средств дорожного фонда в 2019 году произведено обслуживание дорог общего пользования местного значения на общую сумму  191 829,88 рублей . Текущий ремонт дорог (внесение щебня) в </w:t>
      </w:r>
      <w:proofErr w:type="spellStart"/>
      <w:r>
        <w:rPr>
          <w:rFonts w:ascii="Arial" w:eastAsia="Arial" w:hAnsi="Arial"/>
          <w:color w:val="000000"/>
        </w:rPr>
        <w:t>с</w:t>
      </w:r>
      <w:proofErr w:type="gramStart"/>
      <w:r>
        <w:rPr>
          <w:rFonts w:ascii="Arial" w:eastAsia="Arial" w:hAnsi="Arial"/>
          <w:color w:val="000000"/>
        </w:rPr>
        <w:t>.К</w:t>
      </w:r>
      <w:proofErr w:type="gramEnd"/>
      <w:r>
        <w:rPr>
          <w:rFonts w:ascii="Arial" w:eastAsia="Arial" w:hAnsi="Arial"/>
          <w:color w:val="000000"/>
        </w:rPr>
        <w:t>риница</w:t>
      </w:r>
      <w:proofErr w:type="spellEnd"/>
      <w:r>
        <w:rPr>
          <w:rFonts w:ascii="Arial" w:eastAsia="Arial" w:hAnsi="Arial"/>
          <w:color w:val="000000"/>
        </w:rPr>
        <w:t xml:space="preserve"> и </w:t>
      </w:r>
      <w:proofErr w:type="spellStart"/>
      <w:r>
        <w:rPr>
          <w:rFonts w:ascii="Arial" w:eastAsia="Arial" w:hAnsi="Arial"/>
          <w:color w:val="000000"/>
        </w:rPr>
        <w:t>пос</w:t>
      </w:r>
      <w:proofErr w:type="spellEnd"/>
      <w:r>
        <w:rPr>
          <w:rFonts w:ascii="Arial" w:eastAsia="Arial" w:hAnsi="Arial"/>
          <w:color w:val="000000"/>
        </w:rPr>
        <w:t xml:space="preserve"> Луки  1120 </w:t>
      </w:r>
      <w:proofErr w:type="spellStart"/>
      <w:r>
        <w:rPr>
          <w:rFonts w:ascii="Arial" w:eastAsia="Arial" w:hAnsi="Arial"/>
          <w:color w:val="000000"/>
        </w:rPr>
        <w:t>пог</w:t>
      </w:r>
      <w:proofErr w:type="spellEnd"/>
      <w:r>
        <w:rPr>
          <w:rFonts w:ascii="Arial" w:eastAsia="Arial" w:hAnsi="Arial"/>
          <w:color w:val="000000"/>
        </w:rPr>
        <w:t xml:space="preserve"> м на сумму 2 249 384 руб..</w:t>
      </w:r>
    </w:p>
    <w:p w:rsidR="00E37CB6" w:rsidRDefault="00E37CB6" w:rsidP="00E37CB6">
      <w:r>
        <w:rPr>
          <w:rFonts w:ascii="Arial" w:eastAsia="Arial" w:hAnsi="Arial"/>
          <w:color w:val="000000"/>
          <w:sz w:val="24"/>
        </w:rPr>
        <w:t> </w:t>
      </w:r>
    </w:p>
    <w:p w:rsidR="00E37CB6" w:rsidRDefault="00E37CB6" w:rsidP="00E37CB6">
      <w:r>
        <w:rPr>
          <w:rFonts w:ascii="Arial" w:eastAsia="Arial" w:hAnsi="Arial"/>
          <w:color w:val="000000"/>
        </w:rPr>
        <w:t xml:space="preserve">Остаток денежных средств на начало года на расчетном счете составляет 255 402,19 рублей </w:t>
      </w:r>
    </w:p>
    <w:p w:rsidR="00E37CB6" w:rsidRDefault="00E37CB6" w:rsidP="00E37CB6">
      <w:r>
        <w:rPr>
          <w:rFonts w:ascii="Arial" w:eastAsia="Arial" w:hAnsi="Arial"/>
          <w:color w:val="000000"/>
        </w:rPr>
        <w:lastRenderedPageBreak/>
        <w:t> </w:t>
      </w:r>
    </w:p>
    <w:p w:rsidR="00E37CB6" w:rsidRDefault="00E37CB6" w:rsidP="00E37CB6">
      <w:r>
        <w:rPr>
          <w:rFonts w:ascii="Arial" w:eastAsia="Arial" w:hAnsi="Arial"/>
          <w:color w:val="000000"/>
        </w:rPr>
        <w:t xml:space="preserve">                   Размер норматива расходов фонда оплаты труда с начислениями по выборным должностным лицам и муниципальным служащим на 2019 год составил 1374,0 </w:t>
      </w:r>
      <w:proofErr w:type="spellStart"/>
      <w:r>
        <w:rPr>
          <w:rFonts w:ascii="Arial" w:eastAsia="Arial" w:hAnsi="Arial"/>
          <w:color w:val="000000"/>
        </w:rPr>
        <w:t>тыс</w:t>
      </w:r>
      <w:proofErr w:type="gramStart"/>
      <w:r>
        <w:rPr>
          <w:rFonts w:ascii="Arial" w:eastAsia="Arial" w:hAnsi="Arial"/>
          <w:color w:val="000000"/>
        </w:rPr>
        <w:t>.р</w:t>
      </w:r>
      <w:proofErr w:type="gramEnd"/>
      <w:r>
        <w:rPr>
          <w:rFonts w:ascii="Arial" w:eastAsia="Arial" w:hAnsi="Arial"/>
          <w:color w:val="000000"/>
        </w:rPr>
        <w:t>ублей</w:t>
      </w:r>
      <w:proofErr w:type="spellEnd"/>
      <w:r>
        <w:rPr>
          <w:rFonts w:ascii="Arial" w:eastAsia="Arial" w:hAnsi="Arial"/>
          <w:color w:val="000000"/>
        </w:rPr>
        <w:t xml:space="preserve">, фактические расходы составили 1 341 282,54 рублей. По штатному расписанию количество штатных единиц соответствует 4,5 ед., фактически в штате числится 4,5 ед. Штатное расписание должностей составлено </w:t>
      </w:r>
      <w:proofErr w:type="gramStart"/>
      <w:r>
        <w:rPr>
          <w:rFonts w:ascii="Arial" w:eastAsia="Arial" w:hAnsi="Arial"/>
          <w:color w:val="000000"/>
        </w:rPr>
        <w:t>согласно Решений</w:t>
      </w:r>
      <w:proofErr w:type="gramEnd"/>
      <w:r>
        <w:rPr>
          <w:rFonts w:ascii="Arial" w:eastAsia="Arial" w:hAnsi="Arial"/>
          <w:color w:val="000000"/>
        </w:rPr>
        <w:t xml:space="preserve"> Совета народных депутатов о денежном содержании выборных должностных лиц, о размере оплаты труда муниципальных служащих и об оплате труда работников, замещающих должности, не являющиеся должностями муниципальной службы. Органы местного самоуправления </w:t>
      </w:r>
      <w:proofErr w:type="spellStart"/>
      <w:r>
        <w:rPr>
          <w:rFonts w:ascii="Arial" w:eastAsia="Arial" w:hAnsi="Arial"/>
          <w:color w:val="000000"/>
        </w:rPr>
        <w:t>Криниченского</w:t>
      </w:r>
      <w:proofErr w:type="spellEnd"/>
      <w:r>
        <w:rPr>
          <w:rFonts w:ascii="Arial" w:eastAsia="Arial" w:hAnsi="Arial"/>
          <w:color w:val="000000"/>
        </w:rPr>
        <w:t xml:space="preserve"> сельского поселения и муниципальные казенные учреждения </w:t>
      </w:r>
      <w:proofErr w:type="spellStart"/>
      <w:r>
        <w:rPr>
          <w:rFonts w:ascii="Arial" w:eastAsia="Arial" w:hAnsi="Arial"/>
          <w:color w:val="000000"/>
        </w:rPr>
        <w:t>Криниченского</w:t>
      </w:r>
      <w:proofErr w:type="spellEnd"/>
      <w:r>
        <w:rPr>
          <w:rFonts w:ascii="Arial" w:eastAsia="Arial" w:hAnsi="Arial"/>
          <w:color w:val="000000"/>
        </w:rPr>
        <w:t xml:space="preserve"> сельского поселения не принимали решения, приводящие к увеличению в 2019 году численности муниципальных служащих  </w:t>
      </w:r>
      <w:proofErr w:type="spellStart"/>
      <w:r>
        <w:rPr>
          <w:rFonts w:ascii="Arial" w:eastAsia="Arial" w:hAnsi="Arial"/>
          <w:color w:val="000000"/>
        </w:rPr>
        <w:t>Криниченского</w:t>
      </w:r>
      <w:proofErr w:type="spellEnd"/>
      <w:r>
        <w:rPr>
          <w:rFonts w:ascii="Arial" w:eastAsia="Arial" w:hAnsi="Arial"/>
          <w:color w:val="000000"/>
        </w:rPr>
        <w:t xml:space="preserve"> сельского поселения и работников муниципальных  казенных учреждений</w:t>
      </w:r>
    </w:p>
    <w:p w:rsidR="00E37CB6" w:rsidRDefault="00E37CB6" w:rsidP="00E37CB6">
      <w:r>
        <w:rPr>
          <w:rFonts w:ascii="Arial" w:eastAsia="Arial" w:hAnsi="Arial"/>
          <w:color w:val="000000"/>
        </w:rPr>
        <w:t>                   </w:t>
      </w:r>
    </w:p>
    <w:p w:rsidR="00E37CB6" w:rsidRDefault="00E37CB6" w:rsidP="00E37CB6">
      <w:r>
        <w:rPr>
          <w:rFonts w:ascii="Arial" w:eastAsia="Arial" w:hAnsi="Arial"/>
          <w:color w:val="000000"/>
        </w:rPr>
        <w:t>      </w:t>
      </w:r>
    </w:p>
    <w:p w:rsidR="00E37CB6" w:rsidRDefault="00E37CB6" w:rsidP="00E37CB6">
      <w:r>
        <w:rPr>
          <w:rFonts w:ascii="Arial" w:eastAsia="Arial" w:hAnsi="Arial"/>
          <w:color w:val="000000"/>
        </w:rPr>
        <w:t xml:space="preserve">                 Кредиторской задолженности по оплате труда и начислениям по администрации </w:t>
      </w:r>
      <w:proofErr w:type="spellStart"/>
      <w:r>
        <w:rPr>
          <w:rFonts w:ascii="Arial" w:eastAsia="Arial" w:hAnsi="Arial"/>
          <w:color w:val="000000"/>
        </w:rPr>
        <w:t>Криниченского</w:t>
      </w:r>
      <w:proofErr w:type="spellEnd"/>
      <w:r>
        <w:rPr>
          <w:rFonts w:ascii="Arial" w:eastAsia="Arial" w:hAnsi="Arial"/>
          <w:color w:val="000000"/>
        </w:rPr>
        <w:t xml:space="preserve"> сельского поселения и МКУК «</w:t>
      </w:r>
      <w:proofErr w:type="spellStart"/>
      <w:r>
        <w:rPr>
          <w:rFonts w:ascii="Arial" w:eastAsia="Arial" w:hAnsi="Arial"/>
          <w:color w:val="000000"/>
        </w:rPr>
        <w:t>Криниченский</w:t>
      </w:r>
      <w:proofErr w:type="spellEnd"/>
      <w:r>
        <w:rPr>
          <w:rFonts w:ascii="Arial" w:eastAsia="Arial" w:hAnsi="Arial"/>
          <w:color w:val="000000"/>
        </w:rPr>
        <w:t xml:space="preserve"> СКДЦ» на начало года нет.</w:t>
      </w:r>
    </w:p>
    <w:p w:rsidR="00E37CB6" w:rsidRDefault="00E37CB6" w:rsidP="00E37CB6">
      <w:r>
        <w:rPr>
          <w:rFonts w:ascii="Arial" w:eastAsia="Arial" w:hAnsi="Arial"/>
          <w:color w:val="000000"/>
        </w:rPr>
        <w:t>Исполнения расходных обязательств, не отнесенных федеральными законами, законами Воронежской области к вопросам местного значения органов местного самоуправления по итогам   2019 года нет.  Просроченной дебиторской задолженности и долгосрочной задолженности нет. На начало 2020 года нет обязательств по судебным решениям и исполнительным документам. Недостач и хищений денежных средств и материальных ценностей не выявлено</w:t>
      </w:r>
      <w:proofErr w:type="gramStart"/>
      <w:r>
        <w:rPr>
          <w:rFonts w:ascii="Arial" w:eastAsia="Arial" w:hAnsi="Arial"/>
          <w:color w:val="000000"/>
        </w:rPr>
        <w:t>.</w:t>
      </w:r>
      <w:proofErr w:type="gramEnd"/>
    </w:p>
    <w:p w:rsidR="00E37CB6" w:rsidRDefault="00E37CB6" w:rsidP="00E37CB6">
      <w:pPr>
        <w:jc w:val="both"/>
      </w:pPr>
      <w:r>
        <w:rPr>
          <w:rFonts w:ascii="Arial" w:eastAsia="Arial" w:hAnsi="Arial"/>
          <w:color w:val="000000"/>
        </w:rPr>
        <w:t>.  </w:t>
      </w:r>
    </w:p>
    <w:p w:rsidR="00E37CB6" w:rsidRDefault="00E37CB6" w:rsidP="00E37CB6">
      <w:r>
        <w:rPr>
          <w:rFonts w:ascii="Arial" w:eastAsia="Arial" w:hAnsi="Arial"/>
          <w:color w:val="000000"/>
        </w:rPr>
        <w:t> </w:t>
      </w:r>
    </w:p>
    <w:p w:rsidR="00E37CB6" w:rsidRDefault="00E37CB6" w:rsidP="00E37CB6">
      <w:r>
        <w:rPr>
          <w:rFonts w:ascii="Arial" w:eastAsia="Arial" w:hAnsi="Arial"/>
          <w:color w:val="000000"/>
        </w:rPr>
        <w:t> </w:t>
      </w:r>
    </w:p>
    <w:p w:rsidR="00E37CB6" w:rsidRDefault="00E37CB6" w:rsidP="00E37CB6">
      <w:r>
        <w:rPr>
          <w:rFonts w:ascii="Times New Roman" w:eastAsia="Times New Roman" w:hAnsi="Times New Roman"/>
          <w:color w:val="000000"/>
          <w:sz w:val="24"/>
        </w:rPr>
        <w:t> </w:t>
      </w:r>
    </w:p>
    <w:p w:rsidR="00E37CB6" w:rsidRDefault="00E37CB6" w:rsidP="00E37CB6">
      <w:r>
        <w:rPr>
          <w:color w:val="000000"/>
        </w:rPr>
        <w:t> </w:t>
      </w:r>
    </w:p>
    <w:p w:rsidR="00E37CB6" w:rsidRDefault="00E37CB6" w:rsidP="00E37CB6">
      <w:r>
        <w:rPr>
          <w:color w:val="000000"/>
        </w:rPr>
        <w:t> </w:t>
      </w:r>
    </w:p>
    <w:p w:rsidR="005C7B2E" w:rsidRDefault="00E37CB6">
      <w:r>
        <w:t xml:space="preserve">Глава </w:t>
      </w:r>
      <w:proofErr w:type="spellStart"/>
      <w:r>
        <w:t>Криниченского</w:t>
      </w:r>
      <w:proofErr w:type="spellEnd"/>
      <w:r>
        <w:t xml:space="preserve"> сельского поселения                                                          Пикулин Ю.В.</w:t>
      </w:r>
    </w:p>
    <w:p w:rsidR="00E37CB6" w:rsidRDefault="00E37CB6">
      <w:r>
        <w:t xml:space="preserve">Ведущий специалист                                                                                                   </w:t>
      </w:r>
      <w:proofErr w:type="spellStart"/>
      <w:r>
        <w:t>Падалкина</w:t>
      </w:r>
      <w:proofErr w:type="spellEnd"/>
      <w:r>
        <w:t xml:space="preserve"> Н.П.</w:t>
      </w:r>
      <w:bookmarkStart w:id="0" w:name="_GoBack"/>
      <w:bookmarkEnd w:id="0"/>
    </w:p>
    <w:sectPr w:rsidR="00E3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B6"/>
    <w:rsid w:val="005C7B2E"/>
    <w:rsid w:val="00E3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B6"/>
    <w:pP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">
    <w:name w:val="Normal Table"/>
    <w:rsid w:val="00E37CB6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B6"/>
    <w:pP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">
    <w:name w:val="Normal Table"/>
    <w:rsid w:val="00E37CB6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7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1151</Words>
  <Characters>6565</Characters>
  <Application>Microsoft Office Word</Application>
  <DocSecurity>0</DocSecurity>
  <Lines>54</Lines>
  <Paragraphs>15</Paragraphs>
  <ScaleCrop>false</ScaleCrop>
  <Company/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Криница</dc:creator>
  <cp:lastModifiedBy>Криница</cp:lastModifiedBy>
  <cp:revision>2</cp:revision>
  <dcterms:created xsi:type="dcterms:W3CDTF">2020-02-20T05:14:00Z</dcterms:created>
  <dcterms:modified xsi:type="dcterms:W3CDTF">2020-02-20T05:16:00Z</dcterms:modified>
</cp:coreProperties>
</file>