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7" w:rsidRDefault="00EE7167" w:rsidP="00EE716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EC6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211E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E7167" w:rsidRPr="00211EC6" w:rsidRDefault="00EE7167" w:rsidP="00EE716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EC6">
        <w:rPr>
          <w:rFonts w:ascii="Times New Roman" w:hAnsi="Times New Roman" w:cs="Times New Roman"/>
          <w:sz w:val="28"/>
          <w:szCs w:val="28"/>
        </w:rPr>
        <w:t>СЕМИДЕСЯТСКОГО СЕЛЬСКОГО ПОСЕЛЕНИЯ</w:t>
      </w:r>
    </w:p>
    <w:p w:rsidR="00EE7167" w:rsidRPr="00211EC6" w:rsidRDefault="00EE7167" w:rsidP="00EE716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EC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</w:p>
    <w:p w:rsidR="00EE7167" w:rsidRPr="00211EC6" w:rsidRDefault="00EE7167" w:rsidP="00EE7167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EC6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EE7167" w:rsidRPr="00211EC6" w:rsidRDefault="00EE7167" w:rsidP="00EE7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67" w:rsidRPr="00211EC6" w:rsidRDefault="00EE7167" w:rsidP="00EE7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1EC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E7167" w:rsidRPr="00211EC6" w:rsidRDefault="00EE7167" w:rsidP="00EE7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957F2">
        <w:rPr>
          <w:rFonts w:ascii="Times New Roman" w:hAnsi="Times New Roman" w:cs="Times New Roman"/>
          <w:b w:val="0"/>
          <w:sz w:val="24"/>
          <w:szCs w:val="24"/>
        </w:rPr>
        <w:t>от  30.11.2022 г. N 79</w:t>
      </w: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1EC6">
        <w:rPr>
          <w:rFonts w:ascii="Times New Roman" w:hAnsi="Times New Roman" w:cs="Times New Roman"/>
          <w:b w:val="0"/>
          <w:sz w:val="24"/>
          <w:szCs w:val="24"/>
        </w:rPr>
        <w:t>с. Семидесятное</w:t>
      </w: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1EC6">
        <w:rPr>
          <w:rFonts w:ascii="Times New Roman" w:hAnsi="Times New Roman" w:cs="Times New Roman"/>
          <w:b w:val="0"/>
          <w:sz w:val="24"/>
          <w:szCs w:val="24"/>
        </w:rPr>
        <w:t>Об утверждении основных направлений</w:t>
      </w: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1EC6">
        <w:rPr>
          <w:rFonts w:ascii="Times New Roman" w:hAnsi="Times New Roman" w:cs="Times New Roman"/>
          <w:b w:val="0"/>
          <w:sz w:val="24"/>
          <w:szCs w:val="24"/>
        </w:rPr>
        <w:t>бюджетной и налоговой</w:t>
      </w: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1EC6">
        <w:rPr>
          <w:rFonts w:ascii="Times New Roman" w:hAnsi="Times New Roman" w:cs="Times New Roman"/>
          <w:b w:val="0"/>
          <w:sz w:val="24"/>
          <w:szCs w:val="24"/>
        </w:rPr>
        <w:t>политики Семидесятского сельского поселения</w:t>
      </w:r>
    </w:p>
    <w:p w:rsidR="00EE7167" w:rsidRPr="00211EC6" w:rsidRDefault="00EE7167" w:rsidP="00EE71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11EC6">
        <w:rPr>
          <w:rFonts w:ascii="Times New Roman" w:hAnsi="Times New Roman" w:cs="Times New Roman"/>
          <w:b w:val="0"/>
          <w:sz w:val="24"/>
          <w:szCs w:val="24"/>
        </w:rPr>
        <w:t>на 2023 год и на плановый период 2024 и 2025 годов</w:t>
      </w: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CA0371" w:rsidRDefault="00EE7167" w:rsidP="00EE716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EC6">
        <w:rPr>
          <w:rFonts w:ascii="Times New Roman" w:hAnsi="Times New Roman" w:cs="Times New Roman"/>
          <w:sz w:val="28"/>
          <w:szCs w:val="28"/>
        </w:rPr>
        <w:t>В соответствии со статьей 40 Положения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Оськинском сельском </w:t>
      </w:r>
      <w:r w:rsidRPr="00CA0371">
        <w:rPr>
          <w:rFonts w:ascii="Times New Roman" w:hAnsi="Times New Roman" w:cs="Times New Roman"/>
          <w:sz w:val="28"/>
          <w:szCs w:val="28"/>
        </w:rPr>
        <w:t>поселении, принятого реше</w:t>
      </w:r>
      <w:r>
        <w:rPr>
          <w:rFonts w:ascii="Times New Roman" w:hAnsi="Times New Roman" w:cs="Times New Roman"/>
          <w:sz w:val="28"/>
          <w:szCs w:val="28"/>
        </w:rPr>
        <w:t>нием СНД Семидесятского сельского поселения от 25.11.2012 N 29</w:t>
      </w:r>
      <w:r w:rsidRPr="00CA037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в целях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>Семидесятского сельского поселения  на 2023 год и плановый период 2024 и 2025</w:t>
      </w:r>
      <w:r w:rsidRPr="00CA0371">
        <w:rPr>
          <w:rFonts w:ascii="Times New Roman" w:hAnsi="Times New Roman" w:cs="Times New Roman"/>
          <w:sz w:val="28"/>
          <w:szCs w:val="28"/>
        </w:rPr>
        <w:t xml:space="preserve"> годов администрация </w:t>
      </w:r>
      <w:r>
        <w:rPr>
          <w:rFonts w:ascii="Times New Roman" w:hAnsi="Times New Roman" w:cs="Times New Roman"/>
          <w:sz w:val="28"/>
          <w:szCs w:val="28"/>
        </w:rPr>
        <w:t>Семидесятского сельского поселения</w:t>
      </w:r>
      <w:r w:rsidRPr="00CA0371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EE7167" w:rsidRPr="00211EC6" w:rsidRDefault="00EE7167" w:rsidP="00EE716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4" w:history="1">
        <w:r w:rsidRPr="00211EC6">
          <w:rPr>
            <w:rStyle w:val="Internetlink"/>
            <w:rFonts w:ascii="Times New Roman" w:hAnsi="Times New Roman"/>
            <w:sz w:val="24"/>
            <w:szCs w:val="24"/>
          </w:rPr>
          <w:t>основные направления</w:t>
        </w:r>
      </w:hyperlink>
      <w:r w:rsidRPr="00211EC6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Семидесятского сельского поселения  на 2023 год и плановый период 2024 и 2025 годов (Приложение).</w:t>
      </w:r>
    </w:p>
    <w:p w:rsidR="00EE7167" w:rsidRPr="00211EC6" w:rsidRDefault="00EE7167" w:rsidP="00EE7167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211EC6">
        <w:rPr>
          <w:rFonts w:ascii="Times New Roman" w:hAnsi="Times New Roman" w:cs="Times New Roman"/>
        </w:rPr>
        <w:t>2. Опубликовать настоящее постановление  в официальном периодическом издании органов местного самоуправления Семидесятского сельского поселения «Муниципальный вестник» и на официальном сайте администрации Семидесятского сельского поселения  в информационно-телекоммуникационной сети "Интернет».</w:t>
      </w:r>
    </w:p>
    <w:p w:rsidR="00EE7167" w:rsidRPr="00211EC6" w:rsidRDefault="00EE7167" w:rsidP="00EE716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E7167" w:rsidRPr="00211EC6" w:rsidRDefault="00EE7167" w:rsidP="00EE716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 xml:space="preserve">Глава Семидесятского сельского поселения                                         П.И. Капустин                   </w:t>
      </w: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EC6">
        <w:rPr>
          <w:rFonts w:ascii="Times New Roman" w:hAnsi="Times New Roman" w:cs="Times New Roman"/>
          <w:sz w:val="24"/>
          <w:szCs w:val="24"/>
        </w:rPr>
        <w:t>Семидесятского сельского поселения</w:t>
      </w: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30.11.2022 г. N 79</w:t>
      </w:r>
    </w:p>
    <w:p w:rsidR="00EE7167" w:rsidRPr="00211EC6" w:rsidRDefault="00EE7167" w:rsidP="00EE7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7167" w:rsidRPr="00211EC6" w:rsidRDefault="00EE7167" w:rsidP="00EE7167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 w:rsidRPr="00211EC6">
        <w:rPr>
          <w:rFonts w:ascii="Times New Roman" w:hAnsi="Times New Roman"/>
          <w:b/>
          <w:sz w:val="24"/>
          <w:szCs w:val="24"/>
        </w:rPr>
        <w:t>Основные направления бюджетной и налоговой политики</w:t>
      </w:r>
    </w:p>
    <w:p w:rsidR="00EE7167" w:rsidRPr="00211EC6" w:rsidRDefault="00EE7167" w:rsidP="00EE7167">
      <w:pPr>
        <w:pStyle w:val="Textbody"/>
        <w:jc w:val="center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  <w:r w:rsidRPr="00211EC6">
        <w:rPr>
          <w:rFonts w:ascii="Times New Roman" w:hAnsi="Times New Roman"/>
          <w:b/>
          <w:sz w:val="24"/>
          <w:szCs w:val="24"/>
        </w:rPr>
        <w:t>на 2023 год и на плановый период 2024 и 2025 годов</w:t>
      </w:r>
    </w:p>
    <w:p w:rsidR="00EE7167" w:rsidRPr="00211EC6" w:rsidRDefault="00EE7167" w:rsidP="00EE7167">
      <w:pPr>
        <w:pStyle w:val="Textbody"/>
        <w:ind w:firstLine="54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Основные направления бюджетной и налоговой политики Семидесятского сельского поселения на 2023 год и плановый период 2024 и 2025 годов определены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21.07.2020 № 474 «О национальных целях и стратегических задачах развития Российской Федерации на период до 2030 года», утвержденной распоряжением Правительства Российской Федерации от 17.11.2008 № 1662-р, 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Основными направлениями бюджетной и налоговой политики Российской Федерации на очередной финансовый год и на плановый период, Закон Воронежской области от 20.12.2018 г. №168-ОЗ «О стратегии социально-экономического развития  ВО на период до 2035 г., нормативно-правовых актов Воронежской области и Хохольского муниципального района, со статьей 40 Положения о бюджетном процессе в Семидесятском сельском поселении, принятого решением СНД Семидесятского сельского поселения от 25.11.2012 N 29, а также с учетом реализации бюджетной политики и налоговой политики на 2023 год.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Бюджетная и налоговая политика Семидесятского сельского поселения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Семидесятского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Целью Основных направлений бюджетной и налоговой политики является определение условий, используемых при составлении проекта бюджета Семидесятского сельского поселения на 2023 год и на плановый период 2024 и 2025 годов, подходов к его формированию, основных характеристик и прогнозируемых параметров до 2025 года, а также обеспечение прозрачности и открытости бюджетного планирования.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1. Основные задачи бюджетной и налоговой политики на 2023 год и на плановый период 2024 и 2025 годов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Воронежской области, бюджетная и налоговая политика на 2023 год и на плановый период 2024 и 2025 годов будет направлена на: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сбалансированности и долгосрочной устойчивости бюджета Семидесятского сельского поселения;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lastRenderedPageBreak/>
        <w:t>повышение качества бюджетного планирования путем последовательного перехода на долгосрочное планирование;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потребности граждан в муниципальных услугах, повышение их доступности и качества;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реализацию приоритетных направлений социально-экономического развития, установленных Указами Президента Российской Федерации от 07 мая 2012 года, а также адресное решение социальных проблем;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 xml:space="preserve">индексации с 1 октября 2023 года фондов оплаты труда категорий работников бюджетной сферы; 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контроля;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реализацию принципов открытости и прозрачности управления муниципальными финансами;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проведение взвешенной долговой политики;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повышение качества и доступности информации о бюджете для граждан;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поселения в целях получения необходимого объема доходов в бюджет поселения;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формирование условий для развития механизмов муниципально-частного партнерства, расширения практики заключения концессионных соглашений, передачи части объектов социальной инфраструктуры в управление негосударственным организациям, а также оказания негосударственными организациями отдельных видов услуг, предоставляемых муниципальными учреждениями.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2. Бюджетная и налоговая политика в области доходов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условиях снижения темпов роста собственных доходов бюджета Семидесятского сельского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Бюджетная и налоговая политика Семидесятского сельского поселения на 2023 год и на плановый период 2024 и 2025 годов в области доходов будет выстраиваться с учетом реализации изменений федерального законодательства, законодательства Воронежской области, муниципальных правовых актов Семидесятского сельского поселения 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Бюджетная и налоговая политика Семидесятского сельского поселения будет направлена на обеспечение поступления доходов в бюджет поселения в запланированных объемах за счет: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обеспечения качественного администрирования доходов участниками бюджетного процесса;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lastRenderedPageBreak/>
        <w:t>повышения эффективности управления муниципальной собственностью;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проведения мероприятий по развитию застроенных территорий;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сохранения и развития налогового потенциала на территории поселения;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мобилизации доходов бюджета поселения за счет эффективного администрирования местных налогов и минимизации задолженности по налогам, поступающим в бюджет поселения;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применения на территории поселения налога на имущество физических лиц, исчисляемого от кадастровой стоимости объектов налогообложения;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   продолжения работы по проведению претензионной работы с должниками перед бюджетом поселения и по осуществлению мер принудительного взыскания задолженности;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Бюджетная и налоговая политика, проводимая органами местного самоуправления Семидесятского сельского поселения,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бюджета поселения налоговая политика в плановом периоде будет предусматривать ограничение предоставления новых налоговых льгот. Ежегодно будет проводиться анализ эффективности установленных налоговых льгот. В случае планируемого введения на федеральном уровне моратория на установление новых налоговых льгот, а также поэтапной отмены уже установленных льгот следует ожидать увеличения доли местных налогов в общем объеме доходов бюджета поселения.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условиях существующей системы межбюджетных отношений при доминирующей тенденции перераспределения налоговых доходов в пользу вышестоящих бюджетов приоритетное значение будут иметь меры, направленные на повышение эффективности администрирования местных налогов и способствующие мобилизации доходов бюджета поселения. В целях развития налогооблагаемой базы во взаимодействии с Управлением Федеральной налоговой службы России по Воронежской области будет продолжена работа по инвентаризации и оценке потенциальной доходности территории поселения, привлечению пользователей земельными участками к оформлению прав на них в соответствии с действующим законодательством.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3. Бюджетная и налоговая политика  в области расходов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рамках реализации бюджетной и налоговой политики поселения на 2023 год и на плановый период 2024 и 2025 годов планируется доработка и актуализация 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 Семидесятского сельского поселения 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Бюджетная и налоговая политика 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 за счет: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определения основных параметров бюджета Семидесятского сельского поселения исходя из ожидаемого прогноза поступления доходов и допустимого уровня дефицита бюджета;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lastRenderedPageBreak/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увязки муниципальных заданий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недопущения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с наименее приоритетных;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участия, исходя из возможностей бюджета поселения, в реализации приоритетных проектов (программ), государственных программах и мероприятиях, софинансируемых из федерального бюджета и бюджета Воронежской области;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повышения эффективности контроля в сфере закупок для муниципальных нужд Семидесятского сельского поселения;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использования конкурентных способов отбора организаций для оказания муниципальных услуг, в том числе путем проведения конкурсов и аукционов, а также с использованием механизмов муниципально-частного партнерства.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прогнозируемой ситуации ограниченности финансовых ресурсов приоритетными на 2023 - 2025 годы признаются бюджетные расходы на: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бесперебойного финансирования действующих расходных обязательств Семидесятского сельского поселения 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достижения к 2023 году повышения заработной платы отдельным категориям работников социальной сферы, согласно утвержденным во исполнение Указов Президента Российской Федерации от 7 мая 2012 года "дорожным картам" развития отраслей социальной сферы;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участие в областных и федеральных программах;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реализацию мер социальной поддержки населения, в первую очередь исходя из адресности и нуждаемости граждан;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Осуществление бюджетных инвестиций в объекты капитального строительства будет производиться с учетом финансового обеспечения, в первую очередь, объектов, включенных в государственные программы и обеспеченные софинансированием из федерального и (или) областного бюджетов; объектов, по которым сложилась кредиторская задолженность по ранее принятым обязательствам. Средства на новые объекты будут планироваться с учетом их первостепенной важности и охвата населения, на которое они рассчитаны.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сферы, предусмотренных Указами Президента Российской Федерации от 7 мая 2012 года, будет учитываться привлечение высвободившихся средств от оптимизации сети учреждений социальной сферы, а также внебюджетные источники финансирования.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1EC6">
        <w:rPr>
          <w:rFonts w:ascii="Times New Roman" w:hAnsi="Times New Roman"/>
          <w:b/>
          <w:sz w:val="24"/>
          <w:szCs w:val="24"/>
        </w:rPr>
        <w:t>Основные характеристики бюджета поселения на 2023 -2025 годы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1. Основные характеристики бюджета поселения на 2023 и плановый период 2024 и 2025 годов, рассчитанные на основе основных параметров прогноза социально-экономического развития Семидесятского сельского поселения на 2023 год и на период до 2025 года, представлены в таблице.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7"/>
        <w:gridCol w:w="75"/>
        <w:gridCol w:w="1482"/>
        <w:gridCol w:w="1559"/>
        <w:gridCol w:w="54"/>
        <w:gridCol w:w="1505"/>
        <w:gridCol w:w="45"/>
        <w:gridCol w:w="1231"/>
      </w:tblGrid>
      <w:tr w:rsidR="00EE7167" w:rsidRPr="00211EC6" w:rsidTr="0019552D">
        <w:trPr>
          <w:trHeight w:val="841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2022 год РЕШЕНИЕ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2023 год</w:t>
            </w: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Проект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2024 год</w:t>
            </w: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проект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2025 год</w:t>
            </w: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проект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5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Доходы, всего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6161,8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5863,9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2416,2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2486,5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</w:pPr>
            <w:r w:rsidRPr="00211EC6">
              <w:t>из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Налоговые</w:t>
            </w:r>
          </w:p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1906,0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1963,0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1961,0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</w:pPr>
            <w:r w:rsidRPr="00211EC6">
              <w:rPr>
                <w:b/>
                <w:bCs/>
              </w:rPr>
              <w:t>Неналоговые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rPr>
                <w:b/>
              </w:rPr>
              <w:t>146,0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146,0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147,0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149,0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 xml:space="preserve">Безвозмездные перечисления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3722,8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3811,9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345,2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376,5</w:t>
            </w:r>
          </w:p>
        </w:tc>
      </w:tr>
      <w:tr w:rsidR="00EE7167" w:rsidRPr="00211EC6" w:rsidTr="0019552D">
        <w:trPr>
          <w:trHeight w:val="349"/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</w:pPr>
            <w:r w:rsidRPr="00211EC6">
              <w:rPr>
                <w:b/>
              </w:rPr>
              <w:t>Прочие безвозмездные поступления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</w:p>
        </w:tc>
      </w:tr>
      <w:tr w:rsidR="00EE7167" w:rsidRPr="00211EC6" w:rsidTr="0019552D">
        <w:trPr>
          <w:trHeight w:val="349"/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Получение кредита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Расходы, всего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lang w:val="en-US"/>
              </w:rPr>
            </w:pPr>
            <w:r w:rsidRPr="00211EC6">
              <w:rPr>
                <w:b/>
              </w:rPr>
              <w:t>6161,8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5863,9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2416,2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</w:rPr>
            </w:pPr>
            <w:r w:rsidRPr="00211EC6">
              <w:rPr>
                <w:b/>
              </w:rPr>
              <w:t>2486,5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</w:pPr>
            <w:r w:rsidRPr="00211EC6">
              <w:rPr>
                <w:b/>
                <w:bCs/>
              </w:rPr>
              <w:t>Дефицит (-)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  <w:r w:rsidRPr="00211EC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  <w:r w:rsidRPr="00211EC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  <w:r w:rsidRPr="00211EC6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  <w:r w:rsidRPr="00211EC6">
              <w:rPr>
                <w:b/>
                <w:color w:val="000000"/>
              </w:rPr>
              <w:t>-</w:t>
            </w:r>
          </w:p>
        </w:tc>
      </w:tr>
      <w:tr w:rsidR="00EE7167" w:rsidRPr="00211EC6" w:rsidTr="0019552D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Размер дефицита (%)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7167" w:rsidRPr="00211EC6" w:rsidRDefault="00EE7167" w:rsidP="0019552D">
            <w:pPr>
              <w:jc w:val="center"/>
              <w:rPr>
                <w:b/>
                <w:color w:val="000000"/>
              </w:rPr>
            </w:pPr>
          </w:p>
        </w:tc>
      </w:tr>
    </w:tbl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211EC6">
        <w:rPr>
          <w:rFonts w:ascii="Times New Roman" w:hAnsi="Times New Roman"/>
          <w:sz w:val="24"/>
          <w:szCs w:val="24"/>
          <w:shd w:val="clear" w:color="auto" w:fill="FFFF00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211EC6">
        <w:rPr>
          <w:rFonts w:ascii="Times New Roman" w:hAnsi="Times New Roman"/>
          <w:sz w:val="24"/>
          <w:szCs w:val="24"/>
          <w:shd w:val="clear" w:color="auto" w:fill="FFFF00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Проект местного бюджета на 2023 год и на плановый период 2024 - 2025 годов, будет также сформирован в разрезе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Доля расходов местного бюджета, включенных в 2023 году в муниципальные программы, в общем объеме расходов составит  100%. Непрограммные мероприятия не предусматриваются.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2.                 Предельные объемы бюджетных ассигнований местного бюджета на программные мероприятия сформированы на основе следующих подходов: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1) расчет расходов на очередной финансовый год на повышение оплаты труда отдельным категориям работников бюджетной сферы в соответствии с Указами Президента Российской Федерации от 07.05.2012 № 597 «О мероприятиях по реализации государственной социальной политики», осуществлялся с учетом достижения целевых показателей повышения оплаты труда работников бюджетной сферы в 2023 году;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2)  учитывается ежегодный рост цен на услуги организаций ЖКХ в соответствии со сценарными условиями социально-экономического развития Российской Федерации на 2023-2025 годы;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3) планирования социально-значимых расходов, исходя из базовых объемов 2022 года с ежегодной индексацией на уровень инфляции;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4) индексации с 1 октября 2023 года фондов оплаты труда категорий работников бюджетной сферы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5) 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6) предусматривается уменьшение объемов бюджетных ассигнований по прекращающимся расходным обязательствам ограниченного срока действия;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7) планирования расходов муниципального дорожного фонда исходя из прогнозируемого объема доходов местного бюджета от источников, его формирующих;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 xml:space="preserve">8) планирование резервирование средств на расходы связанные, в том числе на софинансирование инвестиционных расходов в социальную сферу через привлечение </w:t>
      </w:r>
      <w:r w:rsidRPr="00211EC6">
        <w:rPr>
          <w:rFonts w:ascii="Times New Roman" w:hAnsi="Times New Roman"/>
          <w:sz w:val="24"/>
          <w:szCs w:val="24"/>
        </w:rPr>
        <w:lastRenderedPageBreak/>
        <w:t>средств государственных федеральных и областных программ и других расходов возникающих при исполнении  районного бюджета;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9) При формировании бюджетных ассигнований районного бюджета на финансовое обеспечение публичных нормативных обязательств и иных выплат населению в 2023-2025 годах в полном объеме запланировано исполнение законодательно установленных публичных норм и иных социально-значимых обязательств, в том числе социальные выплаты.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4. Бюджетная и налоговая политикаи  в области формирования межбюджетных отношений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Межбюджетные отношения в 2023 - 2025 годах будут строиться в соответствии с требованиями Бюджетного кодекса Российской Федерации и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(с последующими изменениями) с учетом изменений бюджетного и налогового законодательства Российской Федерации, а так же утвержденными методиками расчета межбюджетных трансфертов нормативно-правовыми актами органов местного самоуправления Хохольского муниципального района.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Структура межбюджетных трансфертов на 2023 год представлена в таблице: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Тыс. руб.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/>
      </w:tblPr>
      <w:tblGrid>
        <w:gridCol w:w="3299"/>
        <w:gridCol w:w="1869"/>
        <w:gridCol w:w="1415"/>
        <w:gridCol w:w="1508"/>
        <w:gridCol w:w="1630"/>
        <w:gridCol w:w="26"/>
      </w:tblGrid>
      <w:tr w:rsidR="00EE7167" w:rsidRPr="00211EC6" w:rsidTr="0019552D">
        <w:trPr>
          <w:trHeight w:val="57"/>
          <w:jc w:val="center"/>
        </w:trPr>
        <w:tc>
          <w:tcPr>
            <w:tcW w:w="3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ind w:firstLine="720"/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Наименование</w:t>
            </w:r>
          </w:p>
        </w:tc>
        <w:tc>
          <w:tcPr>
            <w:tcW w:w="18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2022г.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ind w:firstLine="720"/>
              <w:jc w:val="center"/>
              <w:rPr>
                <w:b/>
              </w:rPr>
            </w:pPr>
            <w:r w:rsidRPr="00211EC6">
              <w:rPr>
                <w:b/>
              </w:rPr>
              <w:t>Проект</w:t>
            </w:r>
          </w:p>
        </w:tc>
        <w:tc>
          <w:tcPr>
            <w:tcW w:w="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7167" w:rsidRPr="00211EC6" w:rsidRDefault="00EE7167" w:rsidP="0019552D">
            <w:pPr>
              <w:ind w:firstLine="720"/>
              <w:jc w:val="center"/>
              <w:rPr>
                <w:b/>
              </w:rPr>
            </w:pP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решение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2023 год</w:t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2024 год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2025 год</w:t>
            </w: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Межбюджетные трансферты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3722,8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3811,9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345,2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  <w:rPr>
                <w:b/>
                <w:bCs/>
              </w:rPr>
            </w:pPr>
            <w:r w:rsidRPr="00211EC6">
              <w:rPr>
                <w:b/>
                <w:bCs/>
              </w:rPr>
              <w:t>376,5</w:t>
            </w: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в том числе: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Дотации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155,4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237,9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226,8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253,8</w:t>
            </w: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Субвенции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93,5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113,3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118,4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122,7</w:t>
            </w:r>
          </w:p>
        </w:tc>
      </w:tr>
      <w:tr w:rsidR="00EE7167" w:rsidRPr="00211EC6" w:rsidTr="0019552D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иные межбюджетные трансферты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3473,9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3460,7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-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67" w:rsidRPr="00211EC6" w:rsidRDefault="00EE7167" w:rsidP="0019552D">
            <w:pPr>
              <w:jc w:val="center"/>
            </w:pPr>
            <w:r w:rsidRPr="00211EC6">
              <w:t>-</w:t>
            </w:r>
          </w:p>
        </w:tc>
      </w:tr>
    </w:tbl>
    <w:p w:rsidR="00EE7167" w:rsidRPr="00211EC6" w:rsidRDefault="00EE7167" w:rsidP="00EE7167">
      <w:pPr>
        <w:pStyle w:val="Textbody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В условиях ограниченности финансовых ресурсов основной целью межбюджетных отношений является создание условий для устойчивого исполнения расходных полномочий органов местного самоуправления и повышения качества управления муниципальными финансами.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Финансовое обеспечение первоочередных расходов местных бюджетов будет осуществляться путем получения дотации на выравнивание бюджетной обеспеченности, которые направляются на сглаживание диспропорций в уровне бюджетных возможностей бюджетов муниципалитетов.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муниципальных образований определен исходя из необходимости достижения критериев выравнивания бюджетной обеспеченности муниципальных районов (городских округов) и критериев финансовых возможностей поселений.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При определении объема средств на 2023 - 2025 годы на обеспечение сбалансированности местного бюджета учитывались общие подходы по формированию бюджетов на очередной финансовый год и плановый период.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Финансовое обеспечение осуществления муниципальных полномочий района, переданных для осуществления органам местного самоуправления поселений, будет производиться за счет иных межбюджетных трансфертов из районного бюджета.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 xml:space="preserve"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объектов. Финансовое обеспечение осуществления муниципальных полномочий поселений, переданных для осуществления </w:t>
      </w:r>
      <w:r w:rsidRPr="00211EC6">
        <w:rPr>
          <w:rFonts w:ascii="Times New Roman" w:hAnsi="Times New Roman"/>
          <w:sz w:val="24"/>
          <w:szCs w:val="24"/>
        </w:rPr>
        <w:lastRenderedPageBreak/>
        <w:t>органам местного самоуправления района, будет производиться за счет иных межбюджетных трансфертов из бюджета поселения: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- на осуществление части полномочий в области осуществления закупок товаров, работ, услуг для обеспечения муниципальных нужд;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- на осуществление части полномочий в области архитектуры и градостроительства;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- на осуществление части полномочий в области жилищных отношений;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- на осуществление части полномочий в области муниципального земельного контроля за использованием земель поселения.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Для решения вопросов местного значения потребуется рациональное и максимально эффективное использование бюджетных средств, а так же принятие мер по мобилизации доходов и сокращению дефицита местных бюджетов.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5. Бюджетная и налоговая политика  в области управления муниципальным долгом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Основными задачами управления муниципальным долгом при реализации долговой политики являются: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поддержание объема муниципального долга на экономически безопасном уровне;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повышение эффективности муниципальных заимствований;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оптимизация структуры муниципального долга с целью минимизации стоимости его обслуживания;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взаимосвязи принятия решения о заимствованиях с реальными потребностями бюджета поселения в привлечении заемных средств;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публичности информации о муниципальном долге.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  исполнение долговых обязательств в соответствии с графиками платежей по соглашениям, организация учета долговых обязательств и финансово-долговых операций.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6. Совершенствование управления исполнением бюджета Семидесятского сельского поселения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Управление исполнением бюджета Семидесятского сельского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совершенствование управления ликвидностью бюджета Семидесятского сельского поселения в целях эффективного использования бюджетных средств;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  повышение эффективности предоставления прочих межбюджетных трансфертов, передаваемых районному бюджету Хохольского муниципального района за счет средств местного бюджета Семидесятского сельского поселения для финансового обеспечения исполнения соглашений о передачи части своих полномочий за счет унификации соглашений о предоставлении субсидий: введение типовых форм соглашений;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контроля за отсутствием кредиторской задолженности по принятым обязательствам;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бюджета Семидесятского сельского поселения для их осуществления;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lastRenderedPageBreak/>
        <w:t>совершенствование системы учета и отчетности в Хохольском городском поселении;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7. Бюджетная и налоговая политика  в области финансового контроля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Деятельность администрации Семидесятского сельского поселения в сфере финансового контроля и контроля в сфере закупок будет направлена на: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усиление контроля за эффективным управлением и распоряжением имуществом, находящимся в муниципальной собственности Семидесятского сельского поселения 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информации об идентификационных кодах закупок и об объеме финансового обеспечения для осуществления данных закупок;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применение мер ответственности за нарушения бюджетного законодательства и законодательства о контрактной системе;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повышение надежности и эффективности внутреннего финансового контроля в структурных подразделениях администрации Семидесятского сельского поселения 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развитие эффективной системы ведомственного контроля в сфере закупок, осуществляемого органами местного самоуправления Семидесятского сельского поселения , повышение уровня его организации и качества контрольных мероприятий;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усиление контроля за осуществлением закупок товаров, работ, услуг для муниципальных нужд и исполнением контрактов, договоров, заключенных по итогам таких закупок, в целях эффективного использования средств бюджета поселения муниципальными учреждениями;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проведение анализа и оценки деятельности получателей средств бюджета поселения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обеспечение целевого и эффективного использования средств, предоставленных для осуществления переданных государственных полномочий.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Контроль финансовой дисциплины и своевременное выявление проблем в достижении целей являются необходимым условием для обеспечения эффективного бюджетирования.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> 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1EC6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E7167" w:rsidRPr="00211EC6" w:rsidRDefault="00EE7167" w:rsidP="00EE71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EC6">
        <w:rPr>
          <w:rFonts w:ascii="Times New Roman" w:hAnsi="Times New Roman"/>
          <w:sz w:val="24"/>
          <w:szCs w:val="24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 Обеспечение полного и доступного информирования населения Семидесятского сельского поселения о бюджете поселения  и отчетах о его исполнении, повышения открытости и </w:t>
      </w:r>
      <w:r w:rsidRPr="00211EC6">
        <w:rPr>
          <w:rFonts w:ascii="Times New Roman" w:hAnsi="Times New Roman"/>
          <w:sz w:val="24"/>
          <w:szCs w:val="24"/>
        </w:rPr>
        <w:lastRenderedPageBreak/>
        <w:t>прозрачности информации об управлении бюджетными средствами поселения должно найти отражение в регулярной публикации «бюджета для граждан» на официальном сайте Администрации Семидесятского сельского поселения.</w:t>
      </w:r>
    </w:p>
    <w:p w:rsidR="00AF0BFD" w:rsidRDefault="00AF0BFD"/>
    <w:sectPr w:rsidR="00AF0BFD" w:rsidSect="00A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E7167"/>
    <w:rsid w:val="00AF0BFD"/>
    <w:rsid w:val="00E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7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716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E71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rmal (Web)"/>
    <w:basedOn w:val="a"/>
    <w:uiPriority w:val="99"/>
    <w:rsid w:val="00EE7167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a"/>
    <w:uiPriority w:val="99"/>
    <w:rsid w:val="00EE7167"/>
    <w:pPr>
      <w:suppressAutoHyphens/>
      <w:autoSpaceDN w:val="0"/>
      <w:spacing w:after="120" w:line="251" w:lineRule="auto"/>
      <w:textAlignment w:val="baseline"/>
    </w:pPr>
    <w:rPr>
      <w:rFonts w:ascii="Calibri" w:eastAsia="SimSun" w:hAnsi="Calibri"/>
      <w:kern w:val="3"/>
      <w:sz w:val="22"/>
      <w:szCs w:val="22"/>
      <w:lang w:eastAsia="zh-CN"/>
    </w:rPr>
  </w:style>
  <w:style w:type="character" w:customStyle="1" w:styleId="Internetlink">
    <w:name w:val="Internet link"/>
    <w:basedOn w:val="a0"/>
    <w:uiPriority w:val="99"/>
    <w:rsid w:val="00EE71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C:\&#1044;&#1086;&#1082;&#1091;&#1084;&#1077;&#1085;&#1090;&#1099;%20&#1061;&#1086;&#1093;&#1086;&#1083;&#1100;&#1089;&#1082;&#1086;&#1077;%20&#1075;&#1086;&#1088;&#1086;&#1076;&#1089;&#1082;&#1086;&#1077;\&#1073;&#1102;&#1076;&#1078;&#1077;&#1090;%202019\&#1076;&#1086;&#1082;&#1091;&#1084;&#1077;&#1085;&#1090;&#1099;%20&#1080;%20&#1084;&#1072;&#1090;&#1077;&#1088;&#1080;&#1072;&#1083;&#1099;%20&#1089;%20&#1080;&#1089;&#1087;&#1088;&#1072;&#1074;&#1083;&#1077;&#1085;&#1080;&#1103;&#1084;&#1080;\2%20&#1085;&#1072;&#1083;&#1086;&#1075;&#1086;&#1074;&#1072;&#1103;%20&#1080;%20&#1073;&#1102;&#1076;&#1078;&#1077;&#1090;%20&#1087;&#1086;&#1083;&#1080;&#1090;&#1080;&#1082;&#1072;\&#1055;&#1086;&#1089;&#1090;&#1072;&#1085;%20&#8470;%20760%20&#1073;&#1102;&#1076;&#1078;&#1077;&#1090;&#1085;&#1072;&#1103;%20&#1080;%20&#1085;&#1072;&#1083;&#1086;&#1075;&#1086;&#1074;&#1072;&#1103;%20&#1087;&#1086;&#1083;&#1080;&#1090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3969</Words>
  <Characters>22629</Characters>
  <Application>Microsoft Office Word</Application>
  <DocSecurity>0</DocSecurity>
  <Lines>188</Lines>
  <Paragraphs>53</Paragraphs>
  <ScaleCrop>false</ScaleCrop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2023-01-25T12:47:00Z</dcterms:created>
  <dcterms:modified xsi:type="dcterms:W3CDTF">2023-01-25T12:47:00Z</dcterms:modified>
</cp:coreProperties>
</file>