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lang w:val="ru-RU" w:eastAsia="ru-RU"/>
        </w:rPr>
      </w:pPr>
      <w:r>
        <w:rPr>
          <w:sz w:val="20"/>
          <w:lang w:val="ru-RU" w:eastAsia="ru-RU"/>
        </w:rPr>
      </w:r>
    </w:p>
    <w:p>
      <w:pPr>
        <w:pStyle w:val="11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2733675</wp:posOffset>
            </wp:positionH>
            <wp:positionV relativeFrom="paragraph">
              <wp:posOffset>73660</wp:posOffset>
            </wp:positionV>
            <wp:extent cx="622300" cy="7937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11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</w:t>
      </w:r>
      <w:r>
        <w:rPr>
          <w:sz w:val="28"/>
          <w:szCs w:val="28"/>
          <w:lang w:val="ru-RU" w:eastAsia="ru-RU"/>
        </w:rPr>
        <w:t>ПРОЕКТ</w:t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БЕРЕЗОВСКОГО 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МУНИЦИПАЛЬНОГО РАЙОНА </w:t>
      </w:r>
    </w:p>
    <w:p>
      <w:pPr>
        <w:pStyle w:val="Normal"/>
        <w:ind w:right="311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САРАТОВСКОЙ ОБЛАСТИ                  </w:t>
        <w:br/>
        <w:t xml:space="preserve">                                         ПОСТАНОВЛЕНИЕ</w:t>
      </w:r>
    </w:p>
    <w:p>
      <w:pPr>
        <w:pStyle w:val="Normal"/>
        <w:ind w:right="311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от   декабря 202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года</w:t>
        <w:tab/>
        <w:tab/>
        <w:tab/>
        <w:tab/>
        <w:t>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причинения вреда (ущерба) охраняемым законом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ценностям по контролю </w:t>
      </w:r>
      <w:r>
        <w:rPr>
          <w:rFonts w:eastAsia="Calibri" w:cs="Liberation Serif"/>
          <w:b/>
          <w:bCs/>
          <w:color w:val="000000"/>
          <w:kern w:val="2"/>
          <w:sz w:val="28"/>
          <w:szCs w:val="28"/>
          <w:lang w:eastAsia="en-US"/>
        </w:rPr>
        <w:t>на автомобильном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eastAsia="Calibri" w:cs="Liberation Serif"/>
          <w:b/>
          <w:bCs/>
          <w:color w:val="000000"/>
          <w:kern w:val="2"/>
          <w:sz w:val="28"/>
          <w:szCs w:val="28"/>
          <w:lang w:eastAsia="en-US"/>
        </w:rPr>
        <w:t>транспорте и в дорожном хозяйстве</w:t>
      </w:r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Style w:val="Normaltextrun"/>
          <w:sz w:val="28"/>
          <w:szCs w:val="28"/>
        </w:rPr>
        <w:t xml:space="preserve">на основании, Устава Березовского муниципального образования  Петровского муниципального района  администрация района </w:t>
      </w:r>
    </w:p>
    <w:p>
      <w:pPr>
        <w:pStyle w:val="Normal"/>
        <w:ind w:firstLine="567"/>
        <w:jc w:val="both"/>
        <w:rPr/>
      </w:pPr>
      <w:r>
        <w:rPr>
          <w:b/>
          <w:bCs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контролю </w:t>
      </w:r>
      <w:r>
        <w:rPr>
          <w:rFonts w:eastAsia="Calibri" w:cs="Liberation Serif"/>
          <w:color w:val="000000"/>
          <w:kern w:val="2"/>
          <w:sz w:val="28"/>
          <w:szCs w:val="28"/>
          <w:lang w:eastAsia="en-US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2.. Настоящее постановление вступает в силу после его обнародования, но не ранее 1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действует по 31 декабря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 образования                                                С.С.Сергеев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Cs w:val="20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200"/>
        <w:ind w:left="5812" w:hanging="0"/>
        <w:contextualSpacing/>
        <w:rPr/>
      </w:pPr>
      <w:r>
        <w:rPr>
          <w:rFonts w:eastAsia="Calibri"/>
          <w:sz w:val="24"/>
        </w:rPr>
        <w:t>Приложение к постановлению администрации Березовского муниципального образования Петровского муниципального района</w:t>
      </w:r>
    </w:p>
    <w:p>
      <w:pPr>
        <w:pStyle w:val="Normal"/>
        <w:tabs>
          <w:tab w:val="clear" w:pos="708"/>
          <w:tab w:val="left" w:pos="993" w:leader="none"/>
        </w:tabs>
        <w:spacing w:before="0" w:after="200"/>
        <w:ind w:left="5812" w:hanging="0"/>
        <w:contextualSpacing/>
        <w:rPr/>
      </w:pPr>
      <w:r>
        <w:rPr>
          <w:rFonts w:eastAsia="Calibri"/>
          <w:sz w:val="24"/>
        </w:rPr>
        <w:t>Саратовской области</w:t>
      </w:r>
    </w:p>
    <w:p>
      <w:pPr>
        <w:pStyle w:val="Normal"/>
        <w:widowControl/>
        <w:tabs>
          <w:tab w:val="clear" w:pos="708"/>
          <w:tab w:val="left" w:pos="993" w:leader="none"/>
        </w:tabs>
        <w:bidi w:val="0"/>
        <w:spacing w:before="0" w:after="200"/>
        <w:ind w:left="0" w:right="57" w:hanging="0"/>
        <w:contextualSpacing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4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8"/>
          <w:lang w:eastAsia="en-US"/>
        </w:rPr>
        <w:t xml:space="preserve">  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8"/>
          <w:lang w:eastAsia="en-US"/>
        </w:rPr>
        <w:t>от   декабря 202</w:t>
      </w:r>
      <w:r>
        <w:rPr>
          <w:rFonts w:eastAsia="Times New Roman" w:cs="Times New Roman"/>
          <w:b w:val="false"/>
          <w:bCs w:val="false"/>
          <w:color w:val="000000"/>
          <w:sz w:val="24"/>
          <w:szCs w:val="28"/>
          <w:lang w:eastAsia="en-US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4"/>
          <w:szCs w:val="28"/>
          <w:lang w:eastAsia="en-US"/>
        </w:rPr>
        <w:t xml:space="preserve"> года №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ind w:left="446" w:right="413" w:firstLine="20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b/>
          <w:bCs/>
          <w:sz w:val="28"/>
          <w:szCs w:val="28"/>
        </w:rPr>
        <w:t xml:space="preserve">на автомобильном транспорте и в дорожном хозяйстве </w:t>
      </w: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142" w:leader="none"/>
        </w:tabs>
        <w:jc w:val="center"/>
        <w:rPr/>
      </w:pPr>
      <w:r>
        <w:rPr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>
        <w:rPr>
          <w:rFonts w:eastAsia="Calibri"/>
          <w:b/>
          <w:bCs/>
          <w:sz w:val="28"/>
          <w:szCs w:val="28"/>
        </w:rPr>
        <w:t>на автомобильном транспорте и в дорожном хозяйстве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 xml:space="preserve">1.1. В зависимости от объекта, в отношении которого осуществляется муниципальный контроль </w:t>
      </w:r>
      <w:r>
        <w:rPr>
          <w:rFonts w:eastAsia="Calibri"/>
          <w:bCs/>
          <w:sz w:val="28"/>
          <w:szCs w:val="28"/>
        </w:rPr>
        <w:t>на автомобильном транспорте, г и в дорожном хозяйстве</w:t>
      </w:r>
      <w:r>
        <w:rPr>
          <w:sz w:val="28"/>
          <w:szCs w:val="28"/>
        </w:rPr>
        <w:t xml:space="preserve">, выделяются следующие типы контролируемых лиц: 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Calibri"/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предприниматели и физически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осуществляющие деятельность </w:t>
      </w:r>
      <w:r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 xml:space="preserve">- </w:t>
      </w:r>
      <w:r>
        <w:rPr>
          <w:rFonts w:eastAsia="Calibri"/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предприниматели и физически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осуществляющие деятельность </w:t>
      </w:r>
      <w:r>
        <w:rPr>
          <w:rFonts w:eastAsia="Calibri"/>
          <w:bCs/>
          <w:sz w:val="28"/>
          <w:szCs w:val="28"/>
        </w:rPr>
        <w:t>в области перевозок крупногабаритных грузов.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>1.2. Общая протяженность автомобильных дорог муниципального значения составляет 46,8 км, в том числе: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 xml:space="preserve">- с асфальтобетонным покрытием 1,4 км; 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 xml:space="preserve">- с щебёночным покрытием 21,5 км; 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>- грунтовые 23,9 км.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 Характеристика проблем, на решение которых направлена программа профилактики:</w:t>
      </w:r>
    </w:p>
    <w:p>
      <w:pPr>
        <w:pStyle w:val="Normal"/>
        <w:tabs>
          <w:tab w:val="clear" w:pos="708"/>
          <w:tab w:val="left" w:pos="-142" w:leader="none"/>
        </w:tabs>
        <w:jc w:val="both"/>
        <w:rPr/>
      </w:pPr>
      <w:r>
        <w:rPr>
          <w:sz w:val="28"/>
          <w:szCs w:val="28"/>
        </w:rPr>
        <w:tab/>
        <w:t>2.1. К основным проблемам в сфере транспорта относится большой износ дорожной сети, отвечающих требованиям дорожной безопасности.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>2.2. В сфере дорожного хозяйства основной проблемой является несоответствие нормативным требованиям 100 % (или 46,8 км) автомобильных дорог, из них подлежат (по результатам диагностики):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  <w:t>- ремонту 46,8 км;</w:t>
      </w:r>
    </w:p>
    <w:p>
      <w:pPr>
        <w:pStyle w:val="Normal"/>
        <w:tabs>
          <w:tab w:val="clear" w:pos="708"/>
          <w:tab w:val="left" w:pos="-142" w:leader="none"/>
        </w:tabs>
        <w:ind w:right="-1" w:hanging="0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 и задачи реализации программы профилактики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Задачами Программы являются: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Перечень профилактических мероприятий, сроки (периодичность) их проведения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60" w:type="dxa"/>
          <w:left w:w="67" w:type="dxa"/>
          <w:bottom w:w="60" w:type="dxa"/>
          <w:right w:w="75" w:type="dxa"/>
        </w:tblCellMar>
        <w:tblLook w:val="04a0"/>
      </w:tblPr>
      <w:tblGrid>
        <w:gridCol w:w="545"/>
        <w:gridCol w:w="3075"/>
        <w:gridCol w:w="3988"/>
        <w:gridCol w:w="2105"/>
      </w:tblGrid>
      <w:tr>
        <w:trPr/>
        <w:tc>
          <w:tcPr>
            <w:tcW w:w="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мероприятие</w:t>
            </w:r>
          </w:p>
        </w:tc>
      </w:tr>
      <w:tr>
        <w:trPr>
          <w:trHeight w:val="3301" w:hRule="atLeast"/>
        </w:trPr>
        <w:tc>
          <w:tcPr>
            <w:tcW w:w="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главные специалисты администрации, специалисты 1 и 2 категории администрации</w:t>
            </w:r>
          </w:p>
        </w:tc>
      </w:tr>
      <w:tr>
        <w:trPr/>
        <w:tc>
          <w:tcPr>
            <w:tcW w:w="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cs="Liberation Serif"/>
                <w:bCs/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главные специалисты администрации, специалисты 1 и 2 категории администрации</w:t>
            </w:r>
          </w:p>
        </w:tc>
      </w:tr>
      <w:tr>
        <w:trPr/>
        <w:tc>
          <w:tcPr>
            <w:tcW w:w="5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398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  <w:vAlign w:val="center"/>
          </w:tcPr>
          <w:p>
            <w:pPr>
              <w:pStyle w:val="NormalWeb"/>
              <w:widowControl w:val="false"/>
              <w:spacing w:lineRule="auto" w:line="240" w:beforeAutospacing="0" w:before="28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- IV квартал</w:t>
            </w:r>
          </w:p>
          <w:p>
            <w:pPr>
              <w:pStyle w:val="NormalWeb"/>
              <w:widowControl w:val="false"/>
              <w:spacing w:lineRule="auto" w:line="240" w:beforeAutospacing="0" w:before="28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заместитель главы администрации, главные специалисты администрации, специалисты 1 и 2 категории администрации</w:t>
            </w:r>
          </w:p>
        </w:tc>
      </w:tr>
    </w:tbl>
    <w:p>
      <w:pPr>
        <w:pStyle w:val="ConsPlus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-142" w:leader="none"/>
        </w:tabs>
        <w:spacing w:lineRule="auto" w:line="218" w:before="0" w:after="265"/>
        <w:ind w:right="314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>
      <w:pPr>
        <w:pStyle w:val="Normal"/>
        <w:ind w:left="446" w:hanging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профилактики способствует:</w:t>
      </w:r>
    </w:p>
    <w:p>
      <w:pPr>
        <w:pStyle w:val="Normal"/>
        <w:spacing w:lineRule="auto" w:line="259"/>
        <w:ind w:left="10" w:firstLine="43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>
      <w:pPr>
        <w:pStyle w:val="Normal"/>
        <w:spacing w:lineRule="auto" w:line="247"/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качества предоставляемых транспортных услуг;</w:t>
      </w:r>
    </w:p>
    <w:p>
      <w:pPr>
        <w:pStyle w:val="Normal"/>
        <w:spacing w:lineRule="auto" w:line="247"/>
        <w:ind w:firstLine="436"/>
        <w:jc w:val="both"/>
        <w:rPr/>
      </w:pPr>
      <w:r>
        <w:rPr>
          <w:sz w:val="28"/>
          <w:szCs w:val="28"/>
        </w:rPr>
        <w:t>- развитию системы профилактических мероприятий.</w:t>
      </w:r>
    </w:p>
    <w:sectPr>
      <w:headerReference w:type="default" r:id="rId3"/>
      <w:type w:val="nextPage"/>
      <w:pgSz w:w="11906" w:h="16838"/>
      <w:pgMar w:left="1701" w:right="567" w:gutter="0" w:header="568" w:top="1134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0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d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qFormat/>
    <w:rsid w:val="008d0fc3"/>
    <w:pPr>
      <w:keepNext w:val="true"/>
      <w:jc w:val="center"/>
      <w:outlineLvl w:val="0"/>
    </w:pPr>
    <w:rPr>
      <w:b/>
      <w:sz w:val="28"/>
    </w:rPr>
  </w:style>
  <w:style w:type="paragraph" w:styleId="4" w:customStyle="1">
    <w:name w:val="Heading 4"/>
    <w:basedOn w:val="Normal"/>
    <w:qFormat/>
    <w:rsid w:val="008d0fc3"/>
    <w:pPr>
      <w:keepNext w:val="true"/>
      <w:spacing w:before="120" w:after="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8d0fc3"/>
    <w:rPr>
      <w:color w:val="0000FF"/>
      <w:u w:val="single"/>
    </w:rPr>
  </w:style>
  <w:style w:type="character" w:styleId="Style13" w:customStyle="1">
    <w:name w:val="Посещённая гиперссылка"/>
    <w:rsid w:val="008d0fc3"/>
    <w:rPr>
      <w:color w:val="800000"/>
      <w:u w:val="single"/>
    </w:rPr>
  </w:style>
  <w:style w:type="character" w:styleId="Normaltextrun" w:customStyle="1">
    <w:name w:val="normaltextrun"/>
    <w:basedOn w:val="DefaultParagraphFont"/>
    <w:qFormat/>
    <w:rsid w:val="008d0fc3"/>
    <w:rPr/>
  </w:style>
  <w:style w:type="paragraph" w:styleId="Style14" w:customStyle="1">
    <w:name w:val="Заголовок"/>
    <w:basedOn w:val="Normal"/>
    <w:next w:val="Style15"/>
    <w:qFormat/>
    <w:rsid w:val="008d0fc3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5">
    <w:name w:val="Body Text"/>
    <w:basedOn w:val="Normal"/>
    <w:rsid w:val="008d0fc3"/>
    <w:pPr>
      <w:spacing w:lineRule="auto" w:line="276" w:before="0" w:after="140"/>
    </w:pPr>
    <w:rPr/>
  </w:style>
  <w:style w:type="paragraph" w:styleId="Style16">
    <w:name w:val="List"/>
    <w:basedOn w:val="Style15"/>
    <w:rsid w:val="008d0fc3"/>
    <w:pPr/>
    <w:rPr>
      <w:rFonts w:cs="Arial"/>
    </w:rPr>
  </w:style>
  <w:style w:type="paragraph" w:styleId="Style17" w:customStyle="1">
    <w:name w:val="Caption"/>
    <w:basedOn w:val="Normal"/>
    <w:qFormat/>
    <w:rsid w:val="008d0fc3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d0fc3"/>
    <w:pPr>
      <w:suppressLineNumbers/>
    </w:pPr>
    <w:rPr>
      <w:rFonts w:cs="Arial"/>
    </w:rPr>
  </w:style>
  <w:style w:type="paragraph" w:styleId="PlainText">
    <w:name w:val="Plain Text"/>
    <w:basedOn w:val="Normal"/>
    <w:qFormat/>
    <w:rsid w:val="008d0fc3"/>
    <w:pPr/>
    <w:rPr>
      <w:rFonts w:ascii="Courier New" w:hAnsi="Courier New" w:cs="Courier New"/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8d0fc3"/>
    <w:pPr/>
    <w:rPr/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rsid w:val="008d0f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8d0f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8d0fc3"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rsid w:val="00fe0df2"/>
    <w:pPr>
      <w:ind w:firstLine="851"/>
    </w:pPr>
    <w:rPr>
      <w:sz w:val="28"/>
      <w:szCs w:val="20"/>
    </w:rPr>
  </w:style>
  <w:style w:type="paragraph" w:styleId="BodyText2">
    <w:name w:val="Body Text 2"/>
    <w:basedOn w:val="Normal"/>
    <w:qFormat/>
    <w:rsid w:val="008154a0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9e499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856eca"/>
    <w:pPr>
      <w:widowControl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c2f6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34f47"/>
    <w:pPr>
      <w:spacing w:before="0" w:after="0"/>
      <w:ind w:left="720" w:hanging="0"/>
      <w:contextualSpacing/>
    </w:pPr>
    <w:rPr>
      <w:rFonts w:ascii="Times New Roman CYR" w:hAnsi="Times New Roman CYR"/>
      <w:sz w:val="20"/>
      <w:szCs w:val="20"/>
    </w:rPr>
  </w:style>
  <w:style w:type="paragraph" w:styleId="Pboth" w:customStyle="1">
    <w:name w:val="pboth"/>
    <w:basedOn w:val="Normal"/>
    <w:qFormat/>
    <w:rsid w:val="00234f47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8d0fc3"/>
    <w:pPr/>
    <w:rPr/>
  </w:style>
  <w:style w:type="paragraph" w:styleId="NormalWeb">
    <w:name w:val="Normal (Web)"/>
    <w:basedOn w:val="Normal"/>
    <w:uiPriority w:val="99"/>
    <w:unhideWhenUsed/>
    <w:qFormat/>
    <w:rsid w:val="00883531"/>
    <w:pPr>
      <w:suppressAutoHyphens w:val="false"/>
      <w:spacing w:lineRule="auto" w:line="288" w:beforeAutospacing="1" w:after="142"/>
    </w:pPr>
    <w:rPr/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7285-D5AC-49A4-B27A-CB080637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DocSecurity>0</DocSecurity>
  <Pages>4</Pages>
  <Words>616</Words>
  <Characters>4585</Characters>
  <CharactersWithSpaces>5482</CharactersWithSpaces>
  <Paragraphs>70</Paragraphs>
  <Company>Администрация ЗАТО Северск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2021-12-14T12:41:00Z</dcterms:created>
  <dc:creator>Moroz</dc:creator>
  <dc:description/>
  <dc:language>ru-RU</dc:language>
  <cp:lastModifiedBy/>
  <cp:lastPrinted>2018-03-27T04:17:00Z</cp:lastPrinted>
  <dcterms:modified xsi:type="dcterms:W3CDTF">2022-10-05T08:20:08Z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