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1"/>
        <w:widowControl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СОВЕТ ЗАБОРСКОГО СЕЛЬСКОГО ПОСЕЛЕНИЯ</w:t>
      </w:r>
    </w:p>
    <w:p>
      <w:pPr>
        <w:pStyle w:val="ConsPlusTitle1"/>
        <w:widowControl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ТАРНОГСКОГО МУНИЦИПАЛЬНОГО РАЙОНА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ВОЛОГОДСКОЙ ОБЛАСТИ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1"/>
        <w:widowControl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07.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.2021г.                                                                               №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169</w:t>
      </w:r>
    </w:p>
    <w:p>
      <w:pPr>
        <w:pStyle w:val="ConsPlusTitle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Порядка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предоставления налоговых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льгот по земельному налогу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инвесторам,  реализующим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проекты на территории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Заборского сельского поселения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212121"/>
          <w:sz w:val="28"/>
          <w:szCs w:val="28"/>
        </w:rPr>
        <w:t xml:space="preserve">      </w:t>
      </w:r>
      <w:r>
        <w:rPr>
          <w:color w:val="212121"/>
          <w:sz w:val="28"/>
          <w:szCs w:val="28"/>
        </w:rPr>
        <w:t xml:space="preserve">Руководствуясь  статьей 19 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Заборское сельское поселение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>
        <w:rPr>
          <w:bCs/>
          <w:sz w:val="28"/>
          <w:szCs w:val="28"/>
        </w:rPr>
        <w:t xml:space="preserve"> Совет Заборского сельского поселения  </w:t>
      </w:r>
      <w:r>
        <w:rPr>
          <w:b/>
          <w:sz w:val="28"/>
          <w:szCs w:val="28"/>
        </w:rPr>
        <w:t>РЕШИЛ: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1"/>
        <w:widowControl/>
        <w:jc w:val="both"/>
        <w:rPr/>
      </w:pPr>
      <w:bookmarkStart w:id="0" w:name="sub_1"/>
      <w:r>
        <w:rPr>
          <w:rFonts w:cs="Times New Roman" w:ascii="Times New Roman" w:hAnsi="Times New Roman"/>
          <w:b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1. Утвердить  прилагаемый </w:t>
      </w:r>
      <w:bookmarkEnd w:id="0"/>
      <w:r>
        <w:rPr>
          <w:rFonts w:cs="Times New Roman" w:ascii="Times New Roman" w:hAnsi="Times New Roman"/>
          <w:b w:val="false"/>
          <w:sz w:val="28"/>
          <w:szCs w:val="28"/>
        </w:rPr>
        <w:t>Порядок предоставления налоговых льгот по земельному налогу инвесторам,  реализующим проекты на территории Заборского сельского поселения.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 Настоящее решение  подлежит официальному опубликованию в районной газете «Кокшеньга» и размещению на официальном сайте администрации Заборского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 – телекоммуникационной сети «Интернет».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Глава Заборского сельского поселения        </w:t>
        <w:tab/>
        <w:tab/>
        <w:tab/>
        <w:tab/>
        <w:t xml:space="preserve">М.А. Токарева               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>Приложение</w:t>
      </w:r>
    </w:p>
    <w:p>
      <w:pPr>
        <w:pStyle w:val="NormalWeb"/>
        <w:spacing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                                                                               </w:t>
      </w:r>
      <w:r>
        <w:rPr>
          <w:sz w:val="24"/>
          <w:szCs w:val="24"/>
        </w:rPr>
        <w:t xml:space="preserve">к решению Совета Заборского </w:t>
      </w:r>
    </w:p>
    <w:p>
      <w:pPr>
        <w:pStyle w:val="NormalWeb"/>
        <w:spacing w:beforeAutospacing="0" w:before="0" w:afterAutospacing="0" w:after="0"/>
        <w:ind w:left="3828" w:hanging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сельского поселения  от  </w:t>
      </w:r>
      <w:r>
        <w:rPr>
          <w:sz w:val="24"/>
          <w:szCs w:val="24"/>
        </w:rPr>
        <w:t>07.07.</w:t>
      </w:r>
      <w:r>
        <w:rPr>
          <w:sz w:val="24"/>
          <w:szCs w:val="24"/>
        </w:rPr>
        <w:t xml:space="preserve">2021г. №  </w:t>
      </w:r>
      <w:r>
        <w:rPr>
          <w:sz w:val="24"/>
          <w:szCs w:val="24"/>
        </w:rPr>
        <w:t>169</w:t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предоставления налоговых льгот по земельному налогу инвесторам,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реализующим проекты на территории Заборского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Настоящий Порядок принят в соответствии со </w:t>
      </w:r>
      <w:r>
        <w:rPr>
          <w:color w:val="212121"/>
          <w:sz w:val="28"/>
          <w:szCs w:val="28"/>
        </w:rPr>
        <w:t xml:space="preserve"> статьей 19 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 </w:t>
      </w:r>
      <w:r>
        <w:rPr>
          <w:sz w:val="28"/>
          <w:szCs w:val="28"/>
        </w:rPr>
        <w:t>создание в Заборском сельском поселении  благоприятных условий для развития инвестиционной деятельности, осуществляемой в форме капитальных вложений.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1.1.</w:t>
        <w:tab/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Заборского сельского поселения 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>
      <w:pPr>
        <w:pStyle w:val="Normal"/>
        <w:spacing w:lineRule="auto" w:line="230"/>
        <w:jc w:val="both"/>
        <w:rPr/>
      </w:pPr>
      <w:r>
        <w:rPr>
          <w:sz w:val="28"/>
          <w:szCs w:val="28"/>
          <w:lang w:bidi="en-US"/>
        </w:rPr>
        <w:t xml:space="preserve">    </w:t>
      </w:r>
      <w:r>
        <w:rPr>
          <w:sz w:val="28"/>
          <w:szCs w:val="28"/>
          <w:lang w:bidi="en-US"/>
        </w:rPr>
        <w:t>1.2.</w:t>
      </w:r>
      <w:r>
        <w:rPr>
          <w:sz w:val="28"/>
          <w:szCs w:val="28"/>
        </w:rPr>
        <w:t xml:space="preserve"> Пользователями Льготы, предоставляемой в соответствии с настоящим Порядком, являются  инвесторы, 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Заборского сельского поселения, в соответствии с приоритетными направлениями развития экономики сельского поселения</w:t>
      </w:r>
      <w:r>
        <w:rPr>
          <w:color w:val="212121"/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>
      <w:pPr>
        <w:pStyle w:val="Normal"/>
        <w:spacing w:lineRule="auto" w:line="23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1.3. Приоритетными направлениями развития экономики сельского поселения являются следующие виды экономической деятельности: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строительство социальных и социально значимых объектов;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развитие транспортных коммуникаций, транспорта и связи;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реализация инновационных проектов.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1.4. Срок предоставления льготы - 3 года.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>
      <w:pPr>
        <w:pStyle w:val="Normal"/>
        <w:spacing w:lineRule="auto" w:line="23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предоставления льготы по земельному налогу</w:t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>
      <w:pPr>
        <w:pStyle w:val="Normal"/>
        <w:spacing w:lineRule="auto" w:line="23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 Налогоплательщик признается инвестором, имеющим право на предоставление льготы, на основе налогового соглашения, заключаемого между администрацией Заборского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 поселения (округа) и налогоплательщиком по форме согласно  приложению к настоящему Порядку. 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Налоговая льгота вступает в силу с 1 числа квартала, в котором было заключено налоговое соглашение.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2.3. </w:t>
        <w:tab/>
        <w:t>Налоговое соглашение заключается на основании следующих документов, направленных в адрес Администрации: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а)</w:t>
        <w:tab/>
        <w:t xml:space="preserve">письменное заявление на имя главы сельского поселения </w:t>
      </w:r>
      <w:r>
        <w:rPr>
          <w:color w:val="212121"/>
          <w:sz w:val="28"/>
          <w:szCs w:val="28"/>
        </w:rPr>
        <w:t xml:space="preserve">(городского поселения, городского округа) </w:t>
      </w:r>
      <w:r>
        <w:rPr>
          <w:sz w:val="28"/>
          <w:szCs w:val="28"/>
        </w:rP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б)</w:t>
        <w:tab/>
        <w:t>копия свидетельства о постановке на учет в налоговом органе;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в)</w:t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г)</w:t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д)</w:t>
        <w:tab/>
        <w:t>краткое описание (бизнес-план) инвестиционного проекта: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план - график и объемы намечаемых инвестиций;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   комплекс);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е)</w:t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 Вологодской области (по данным органов статистики), действующего в соответствующем периоде.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2.4. Администрация поселения  в течение 30 дней со дня поступления в администрацию поселения заявления и документов, указанных  в  пункте  2.3. настоящего Порядка, рассматривает представленные материалы и дает соответствующее заключение.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 подписывают налоговое соглашение. Налоговое соглашение составляется в 3 экземплярах: 1 экз. – заявителю; 1 экз. – администрации  поселения; 1 экз. - для налогового органа.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2.6. Отказ в заключении налогового соглашения направляется заявителю в письменной форме с мотивированной причиной отказа.</w:t>
      </w:r>
    </w:p>
    <w:p>
      <w:pPr>
        <w:pStyle w:val="Normal"/>
        <w:spacing w:lineRule="auto" w:line="2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2.7.</w:t>
      </w:r>
      <w:bookmarkStart w:id="1" w:name="sub_101262"/>
      <w:r>
        <w:rPr>
          <w:sz w:val="28"/>
          <w:szCs w:val="28"/>
        </w:rPr>
        <w:t xml:space="preserve"> Основаниями для отказа в согласовании проекта решения являются:</w:t>
      </w:r>
    </w:p>
    <w:p>
      <w:pPr>
        <w:pStyle w:val="Normal"/>
        <w:widowControl w:val="false"/>
        <w:spacing w:lineRule="auto" w:line="230"/>
        <w:jc w:val="both"/>
        <w:rPr>
          <w:sz w:val="28"/>
          <w:szCs w:val="28"/>
        </w:rPr>
      </w:pPr>
      <w:bookmarkStart w:id="2" w:name="sub_101259"/>
      <w:bookmarkEnd w:id="1"/>
      <w:bookmarkEnd w:id="2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а) несоответствие заявителя требованиям, установленным  пунктами 1.1.-1.3., пунктом 2.1. настоящего Порядка;</w:t>
      </w:r>
    </w:p>
    <w:p>
      <w:pPr>
        <w:pStyle w:val="Normal"/>
        <w:widowControl w:val="false"/>
        <w:spacing w:lineRule="auto" w:line="230"/>
        <w:jc w:val="both"/>
        <w:rPr/>
      </w:pPr>
      <w:bookmarkStart w:id="3" w:name="sub_1012591"/>
      <w:bookmarkEnd w:id="3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непредставление или представление не в полном объеме документов, </w:t>
      </w:r>
      <w:r>
        <w:rPr>
          <w:color w:val="000000"/>
          <w:sz w:val="28"/>
          <w:szCs w:val="28"/>
        </w:rPr>
        <w:t xml:space="preserve">указанных в </w:t>
      </w:r>
      <w:hyperlink w:anchor="sub_101243">
        <w:r>
          <w:rPr>
            <w:rStyle w:val="Style14"/>
            <w:color w:val="000000"/>
            <w:sz w:val="28"/>
            <w:szCs w:val="28"/>
          </w:rPr>
          <w:t xml:space="preserve">пункте 2.3. </w:t>
        </w:r>
      </w:hyperlink>
      <w:r>
        <w:rPr>
          <w:color w:val="000000"/>
          <w:sz w:val="28"/>
          <w:szCs w:val="28"/>
        </w:rPr>
        <w:t xml:space="preserve"> настоящего</w:t>
      </w:r>
      <w:bookmarkStart w:id="4" w:name="sub_101260"/>
      <w:bookmarkEnd w:id="4"/>
      <w:r>
        <w:rPr>
          <w:sz w:val="28"/>
          <w:szCs w:val="28"/>
        </w:rPr>
        <w:t xml:space="preserve"> Порядка;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в) недостоверность информации, содержащейся в представленных документах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2.8. В случае невыполнения условий, предусмотренных в налоговом соглашении:</w:t>
      </w:r>
    </w:p>
    <w:p>
      <w:pPr>
        <w:pStyle w:val="Normal"/>
        <w:spacing w:lineRule="auto" w:line="230"/>
        <w:jc w:val="both"/>
        <w:rPr>
          <w:color w:val="212121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color w:val="212121"/>
          <w:sz w:val="28"/>
          <w:szCs w:val="28"/>
        </w:rPr>
        <w:t xml:space="preserve">- срока введения в эксплуатацию объектов производственных инвестиций; </w:t>
      </w:r>
    </w:p>
    <w:p>
      <w:pPr>
        <w:pStyle w:val="Normal"/>
        <w:spacing w:lineRule="auto" w:line="230"/>
        <w:jc w:val="both"/>
        <w:rPr>
          <w:color w:val="212121"/>
          <w:sz w:val="28"/>
          <w:szCs w:val="28"/>
        </w:rPr>
      </w:pPr>
      <w:r>
        <w:rPr>
          <w:b w:val="false"/>
          <w:bCs w:val="false"/>
          <w:color w:val="212121"/>
          <w:sz w:val="28"/>
          <w:szCs w:val="28"/>
        </w:rPr>
        <w:t xml:space="preserve">     </w:t>
      </w:r>
      <w:r>
        <w:rPr>
          <w:b w:val="false"/>
          <w:bCs w:val="false"/>
          <w:color w:val="212121"/>
          <w:sz w:val="28"/>
          <w:szCs w:val="28"/>
        </w:rPr>
        <w:t xml:space="preserve">- уменьшения величины вложенных инвестиций; </w:t>
      </w:r>
    </w:p>
    <w:p>
      <w:pPr>
        <w:pStyle w:val="Normal"/>
        <w:spacing w:lineRule="auto" w:line="230"/>
        <w:jc w:val="both"/>
        <w:rPr>
          <w:color w:val="212121"/>
          <w:sz w:val="28"/>
          <w:szCs w:val="28"/>
        </w:rPr>
      </w:pPr>
      <w:r>
        <w:rPr>
          <w:b w:val="false"/>
          <w:bCs w:val="false"/>
          <w:color w:val="212121"/>
          <w:sz w:val="28"/>
          <w:szCs w:val="28"/>
        </w:rPr>
        <w:t xml:space="preserve">     </w:t>
      </w:r>
      <w:r>
        <w:rPr>
          <w:b w:val="false"/>
          <w:bCs w:val="false"/>
          <w:color w:val="212121"/>
          <w:sz w:val="28"/>
          <w:szCs w:val="28"/>
        </w:rPr>
        <w:t xml:space="preserve">- досрочного расторжения налогового соглашения пользователем в одностороннем порядке; </w:t>
      </w:r>
    </w:p>
    <w:p>
      <w:pPr>
        <w:pStyle w:val="Normal"/>
        <w:spacing w:lineRule="auto" w:line="23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12121"/>
          <w:sz w:val="28"/>
          <w:szCs w:val="28"/>
        </w:rPr>
        <w:t xml:space="preserve">    </w:t>
      </w:r>
      <w:r>
        <w:rPr>
          <w:b w:val="false"/>
          <w:bCs w:val="false"/>
          <w:color w:val="212121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Вологодской области (по данным органов статистики), налогоплательщик в бесспорном порядке выплачивает в бюджет сельского поселения  (далее – бюджет поселения (округа) полную сумму налогов, которые не были внесены в течение всего срока пользования льготами по данному налоговому соглашению. </w:t>
      </w:r>
    </w:p>
    <w:p>
      <w:pPr>
        <w:pStyle w:val="Normal"/>
        <w:spacing w:lineRule="auto" w:line="23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Ограничения по предоставлению налоговых льгот</w:t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3.1. 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 1% объема фактических доходов бюджета  поселения в расчете за 1 год.</w:t>
      </w:r>
    </w:p>
    <w:p>
      <w:pPr>
        <w:pStyle w:val="Normal"/>
        <w:spacing w:lineRule="auto" w:line="23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3.2.</w:t>
        <w:tab/>
        <w:t xml:space="preserve"> При превышении ограничения, установленного пунктом 3.1 Порядка, глава Заборского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выносит на рассмотрение Совета Заборского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решения об ограничении предоставления Льготы при соблюдении следующей последовательности: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снижение до 50% установленной Льготы по земельному налогу;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приостановка в текущем финансовом году действия Льготы, предоставляемой  в соответствии с настоящим Порядком.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3.3.</w:t>
        <w:tab/>
        <w:t xml:space="preserve"> Снижение льготы по земельному налогу вводится в действие с периода, следующего за отчетным, по итогам которого сумма выпадающих доходов  бюджета поселения превысила величину, установленную в пункте 3.1. 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Снижение льготы по земельному налогу устанавливается до конца финансового года.</w:t>
      </w:r>
    </w:p>
    <w:p>
      <w:pPr>
        <w:pStyle w:val="Normal"/>
        <w:spacing w:lineRule="auto" w:line="23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Использование средств, полученных в результате предоставления льгот</w:t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а)</w:t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б)</w:t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>
      <w:pPr>
        <w:pStyle w:val="Normal"/>
        <w:spacing w:lineRule="auto" w:line="23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Контроль и анализ эффективности действия льгот</w:t>
      </w:r>
    </w:p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5.1. Контроль за выполнением налогового соглашения осуществляет администрация поселения.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5.2.</w:t>
        <w:tab/>
        <w:t xml:space="preserve"> 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  <w:tab/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5.4.</w:t>
        <w:tab/>
        <w:t xml:space="preserve"> Администрация поселения  ежегодно составляет аналитическую справку о результатах действия льготы, содержащую следующую информацию: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  <w:tab/>
        <w:t>перечень налогоплательщиков, пользующихся льготой;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>
      <w:pPr>
        <w:pStyle w:val="Normal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  <w:tab/>
        <w:t>выводы о целесообразности применения установленной льготы.</w:t>
      </w:r>
    </w:p>
    <w:p>
      <w:pPr>
        <w:pStyle w:val="Normal"/>
        <w:spacing w:lineRule="auto" w:line="23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5.5. </w:t>
        <w:tab/>
        <w:t>Аналитическая справка по результатам финансового года ежегодно предоставляется  в Совет Заборского сельского поселения.</w:t>
      </w:r>
    </w:p>
    <w:p>
      <w:pPr>
        <w:pStyle w:val="Normal"/>
        <w:jc w:val="righ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jc w:val="righ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jc w:val="righ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jc w:val="right"/>
        <w:rPr>
          <w:lang w:bidi="en-US"/>
        </w:rPr>
      </w:pPr>
      <w:r>
        <w:rPr>
          <w:lang w:bidi="en-US"/>
        </w:rPr>
      </w:r>
    </w:p>
    <w:p>
      <w:pPr>
        <w:pStyle w:val="Normal"/>
        <w:jc w:val="right"/>
        <w:rPr>
          <w:lang w:bidi="en-US"/>
        </w:rPr>
      </w:pPr>
      <w:r>
        <w:rPr>
          <w:lang w:bidi="en-US"/>
        </w:rPr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ab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  <w:tab/>
        <w:tab/>
        <w:tab/>
        <w:tab/>
        <w:tab/>
        <w:tab/>
        <w:tab/>
        <w:tab/>
        <w:t xml:space="preserve"> Приложение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к Порядку предоставления налоговых льгот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по земельному налогу инвесторам,  реализующим</w:t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проекты на территории Заборского сельского поселения</w:t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</w:t>
      </w:r>
    </w:p>
    <w:p>
      <w:pPr>
        <w:pStyle w:val="Normal"/>
        <w:spacing w:before="0" w:afterAutospacing="1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НАЛОГОВОЕ СОГЛАШЕНИЕ </w:t>
      </w:r>
    </w:p>
    <w:p>
      <w:pPr>
        <w:pStyle w:val="Normal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rPr/>
      </w:pPr>
      <w:r>
        <w:rPr>
          <w:color w:val="212121"/>
          <w:sz w:val="28"/>
          <w:szCs w:val="28"/>
        </w:rPr>
        <w:t>……………</w:t>
      </w:r>
      <w:r>
        <w:rPr>
          <w:color w:val="212121"/>
          <w:sz w:val="28"/>
          <w:szCs w:val="28"/>
        </w:rPr>
        <w:t xml:space="preserve">..                                                                       «___» __________ г. </w:t>
      </w:r>
    </w:p>
    <w:p>
      <w:pPr>
        <w:pStyle w:val="Normal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>Администрация Заборского сельского поселения  (далее – администрация поселения (округа) в лице главы Заборского сельского поселения, действующего на основании Устава Заборского сельского поселения ,    и ____________________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(далее - Налогоплательщик) в лице ________________________, действующего на основании __________________, руководствуясь решением Совета Заборского сельского поселения  _____________________________________, заключили настоящее соглашение о нижеследующем: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_______________________________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на срок _________________. 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Заборского сельского поселения  отчет о выполнении инвестиционного проекта: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3. В случае невыполнения следующих условий: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срока введения в эксплуатацию объекта производственных инвестиций;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уменьшения величины вложенных инвестиций;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досрочного расторжения налогового соглашения налогоплательщиком в одностороннем порядке;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установления среднего размера заработной платы не ниже сложившегося уровня среднего размера заработной платы по Вологодской области (по данным органов статистики), действующего на данный период;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непредставления в администрацию поселения сведений, предусмотренных п.   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2 настоящего соглашения, налогоплательщик в бесспорном порядке выплачивает в бюджет Заборского сельского поселения полную сумму налогов, которые не были внесены в течение всего срока пользования налоговой льготой по данному соглашению. 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 </w:t>
      </w:r>
      <w:r>
        <w:rPr>
          <w:color w:val="212121"/>
          <w:sz w:val="28"/>
          <w:szCs w:val="28"/>
        </w:rPr>
        <w:t xml:space="preserve">4. Администрация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Заборского сельского поселения   за 1 год.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>
        <w:rPr>
          <w:color w:val="212121"/>
          <w:sz w:val="28"/>
          <w:szCs w:val="28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>
        <w:rPr>
          <w:color w:val="212121"/>
          <w:sz w:val="28"/>
          <w:szCs w:val="28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поселения  итогового отчета.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>От администрации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сельского поселения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                                                                       </w:t>
      </w:r>
      <w:r>
        <w:rPr>
          <w:color w:val="212121"/>
          <w:sz w:val="28"/>
          <w:szCs w:val="28"/>
        </w:rPr>
        <w:t>От Налогоплательщика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>________________                                              ______________________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М.П.                                                                          М.П. </w:t>
      </w:r>
    </w:p>
    <w:p>
      <w:pPr>
        <w:pStyle w:val="Normal"/>
        <w:rPr>
          <w:rFonts w:ascii="Calibri" w:hAnsi="Calibri" w:eastAsia="Calibri"/>
          <w:sz w:val="28"/>
          <w:szCs w:val="28"/>
          <w:lang w:eastAsia="en-US"/>
        </w:rPr>
      </w:pPr>
      <w:r>
        <w:rPr>
          <w:rFonts w:eastAsia="Calibri" w:ascii="Calibri" w:hAnsi="Calibri"/>
          <w:sz w:val="28"/>
          <w:szCs w:val="28"/>
          <w:lang w:eastAsia="en-US"/>
        </w:rPr>
      </w:r>
    </w:p>
    <w:p>
      <w:pPr>
        <w:pStyle w:val="NormalWeb"/>
        <w:spacing w:beforeAutospacing="0" w:before="0" w:afterAutospacing="0" w:after="0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4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Title" w:customStyle="1">
    <w:name w:val="ConsPlusTitle Знак"/>
    <w:link w:val="ConsPlusTitle"/>
    <w:qFormat/>
    <w:locked/>
    <w:rsid w:val="004934b3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4934b3"/>
    <w:rPr>
      <w:rFonts w:ascii="Arial" w:hAnsi="Arial" w:eastAsia="Times New Roman" w:cs="Arial"/>
      <w:sz w:val="20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4934b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1" w:customStyle="1">
    <w:name w:val="ConsPlusTitle"/>
    <w:link w:val="ConsPlusTitle0"/>
    <w:qFormat/>
    <w:rsid w:val="004934b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934b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LibreOffice/5.3.2.2$Windows_X86_64 LibreOffice_project/6cd4f1ef626f15116896b1d8e1398b56da0d0ee1</Application>
  <Pages>7</Pages>
  <Words>1638</Words>
  <Characters>12490</Characters>
  <CharactersWithSpaces>15498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2021-06-04T14:42:00Z</dcterms:created>
  <dc:creator>admin</dc:creator>
  <dc:description/>
  <dc:language>ru-RU</dc:language>
  <cp:lastModifiedBy/>
  <cp:lastPrinted>2021-07-07T13:46:13Z</cp:lastPrinted>
  <dcterms:modified xsi:type="dcterms:W3CDTF">2021-07-07T13:48:32Z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