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left"/>
        <w:rPr>
          <w:bCs/>
        </w:rPr>
      </w:pPr>
      <w:r>
        <w:rPr>
          <w:bCs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center"/>
        <w:rPr>
          <w:color w:val="C9211E"/>
        </w:rPr>
      </w:pPr>
      <w:r>
        <w:rPr>
          <w:bCs/>
          <w:color w:val="C9211E"/>
        </w:rPr>
        <w:t>Опубликовано в информационном бюллетене «Ченцовские вести» № 18 от 21.12.2022г.</w:t>
      </w:r>
    </w:p>
    <w:p>
      <w:pPr>
        <w:pStyle w:val="Normal"/>
        <w:ind w:firstLine="709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СОВЕТ ДЕПУТАТОВ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ЧЕНЦОВСКОГО СЕЛЬСКОГО ПОСЕЛЕНИЯ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СУСАНИНСКОГО МУНИЦИПАЛЬНОГО РАЙОНА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КОСТРОМСКОЙ ОБЛАСТИ</w:t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>
          <w:b/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/>
      </w:pPr>
      <w:r>
        <w:rPr>
          <w:b/>
          <w:bCs/>
          <w:color w:val="000000"/>
          <w:sz w:val="32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/>
      </w:pPr>
      <w:r>
        <w:rPr>
          <w:b/>
          <w:bCs/>
          <w:spacing w:val="-6"/>
          <w:sz w:val="32"/>
        </w:rPr>
        <w:t>от</w:t>
      </w:r>
      <w:r>
        <w:rPr>
          <w:b/>
          <w:bCs/>
          <w:sz w:val="32"/>
        </w:rPr>
        <w:t xml:space="preserve"> 19 декабря 2022 года №40/69</w:t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b/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</w:r>
    </w:p>
    <w:p>
      <w:pPr>
        <w:pStyle w:val="Title"/>
        <w:spacing w:before="0" w:after="0"/>
        <w:ind w:firstLine="709"/>
        <w:rPr/>
      </w:pPr>
      <w:r>
        <w:rPr/>
        <w:t>О БЮДЖЕТЕ ЧЕНЦОВСКОГО СЕЛЬСКОГО ПОСЕЛЕНИЯ СУСАНИНСКОГО МУНИЦИПАЛЬНОГО РАЙОНА КОСТРОМСКОЙ ОБЛАСТИ НА 2023 ГОД И НА ПЛАНОВЫЙ ПЕРИОД 2024 И 2025 ГОДОВ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(в редакции решения Совета депутатов Ченцовского сельского поселения от 31.03.2023 № 6/79; от 28</w:t>
      </w:r>
      <w:hyperlink r:id="rId2" w:tgtFrame="Executing">
        <w:r>
          <w:rPr/>
          <w:t>.04.2023 № 18/</w:t>
        </w:r>
      </w:hyperlink>
      <w:r>
        <w:rPr/>
        <w:t xml:space="preserve">91, </w:t>
      </w:r>
      <w:r>
        <w:rPr/>
        <w:t>от 27.07.2023 №25/98</w:t>
      </w:r>
      <w:r>
        <w:rPr/>
        <w:t>)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 xml:space="preserve">В соответствии с </w:t>
      </w:r>
      <w:hyperlink r:id="rId3" w:tgtFrame="ФЕДЕРАЛЬНЫЙ ЗАКОН от 31.07.1998 № 145-ФЗ ГОСУДАРСТВЕННАЯ ДУМА ФЕДЕРАЛЬНОГО СОБРАНИЯ РФ БЮДЖЕТНЫЙ КОДЕКС РОССИЙСКОЙ ФЕДЕРАЦИИ">
        <w:r>
          <w:rPr/>
          <w:t>Бюджетным кодексом Российской Федерации</w:t>
        </w:r>
      </w:hyperlink>
      <w:r>
        <w:rPr/>
        <w:t xml:space="preserve">, </w:t>
      </w:r>
      <w:hyperlink r:id="rId4" w:tgtFrame="ФЕДЕРАЛЬНЫЙ ЗАКОН от 31.07.1998 № 146-ФЗ ГОСУДАРСТВЕННАЯ ДУМА ФЕДЕРАЛЬНОГО СОБРАНИЯ РФ НАЛОГОВЫЙ КОДЕКС РОССИЙСКОЙ ФЕДЕРАЦИИ. ЧАСТЬ ПЕРВАЯ">
        <w:r>
          <w:rPr/>
          <w:t>Налоговым кодексом</w:t>
        </w:r>
      </w:hyperlink>
      <w:r>
        <w:rPr/>
        <w:t xml:space="preserve"> Российской Федерации, </w:t>
      </w:r>
      <w:hyperlink r:id="rId5" w:tgtFrame="УСТАВ МО от 09.06.2018 № 20 Совет депутатов Ченцовского сельского поселения Сусанинского муниципального района Костромской области УСТАВ МУНИЦИПАЛЬНОГО ОБРАЗОВАНИЯ ЧЕНЦОВСКОЕ СЕЛЬСКОЕ ПОСЕЛЕНИЕ СУСАНИНСКОГО МУНИЦИПАЛЬНОГО РАЙОНА КОСТРОМСКОЙ ОБЛАСТИ">
        <w:r>
          <w:rPr/>
          <w:t>Уставом</w:t>
        </w:r>
      </w:hyperlink>
      <w:r>
        <w:rPr/>
        <w:t xml:space="preserve"> Ченцовского сельского поселения Сусанинского муниципального района Костромской области, Совет депутатов</w:t>
      </w:r>
    </w:p>
    <w:p>
      <w:pPr>
        <w:pStyle w:val="Normal"/>
        <w:ind w:firstLine="709"/>
        <w:rPr/>
      </w:pPr>
      <w:r>
        <w:rPr>
          <w:rFonts w:eastAsia="Arial"/>
        </w:rPr>
        <w:t xml:space="preserve"> </w:t>
      </w:r>
      <w:r>
        <w:rPr>
          <w:b/>
        </w:rPr>
        <w:t>РЕШИЛ: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Принять бюджет Ченцовского сельского поселения (далее - местный бюджет) на 2023 год в следующей редакции:</w:t>
      </w:r>
    </w:p>
    <w:p>
      <w:pPr>
        <w:pStyle w:val="Normal"/>
        <w:ind w:firstLine="709"/>
        <w:rPr/>
      </w:pPr>
      <w:r>
        <w:rPr>
          <w:rFonts w:eastAsia="Arial"/>
        </w:rPr>
        <w:t>1. Утвердить основные характеристики бюджета Ченцовского сельского поселения на 2023 год:</w:t>
      </w:r>
    </w:p>
    <w:p>
      <w:pPr>
        <w:pStyle w:val="Normal"/>
        <w:ind w:firstLine="709"/>
        <w:rPr/>
      </w:pPr>
      <w:r>
        <w:rPr/>
        <w:t xml:space="preserve">1) Общий объем доходов местного бюджета в сумме – </w:t>
      </w:r>
      <w:r>
        <w:rPr/>
        <w:t>10</w:t>
      </w:r>
      <w:r>
        <w:rPr/>
        <w:t xml:space="preserve"> </w:t>
      </w:r>
      <w:r>
        <w:rPr/>
        <w:t>364</w:t>
      </w:r>
      <w:r>
        <w:rPr/>
        <w:t xml:space="preserve"> 338 рублей.</w:t>
      </w:r>
    </w:p>
    <w:p>
      <w:pPr>
        <w:pStyle w:val="Normal"/>
        <w:ind w:firstLine="709"/>
        <w:rPr/>
      </w:pPr>
      <w:r>
        <w:rPr/>
        <w:t xml:space="preserve">2) Общий объем расходов местного бюджета в сумме - </w:t>
      </w:r>
      <w:r>
        <w:rPr/>
        <w:t>10</w:t>
      </w:r>
      <w:r>
        <w:rPr/>
        <w:t> </w:t>
      </w:r>
      <w:r>
        <w:rPr/>
        <w:t>367</w:t>
      </w:r>
      <w:r>
        <w:rPr/>
        <w:t xml:space="preserve"> 592 рубля</w:t>
      </w:r>
    </w:p>
    <w:p>
      <w:pPr>
        <w:pStyle w:val="Normal"/>
        <w:ind w:firstLine="709"/>
        <w:rPr/>
      </w:pPr>
      <w:r>
        <w:rPr/>
        <w:t xml:space="preserve">3) резервный фонд администрации Ченцовского сельского поселения Сусанинского муниципального района Костромской области </w:t>
      </w:r>
    </w:p>
    <w:p>
      <w:pPr>
        <w:pStyle w:val="Normal"/>
        <w:ind w:firstLine="709"/>
        <w:rPr/>
      </w:pPr>
      <w:r>
        <w:rPr/>
        <w:t>в сумме 20 000 рублей;</w:t>
      </w:r>
    </w:p>
    <w:p>
      <w:pPr>
        <w:pStyle w:val="Normal"/>
        <w:ind w:firstLine="709"/>
        <w:rPr/>
      </w:pPr>
      <w:r>
        <w:rPr/>
        <w:t>4) верхний предел муниципального</w:t>
      </w:r>
      <w:r>
        <w:rPr>
          <w:color w:val="000000"/>
        </w:rPr>
        <w:t xml:space="preserve"> внутреннего долга </w:t>
      </w:r>
      <w:r>
        <w:rPr/>
        <w:t>Ченцовского сельского поселения Сусанинского муниципального района Костромской области</w:t>
      </w:r>
    </w:p>
    <w:p>
      <w:pPr>
        <w:pStyle w:val="Normal"/>
        <w:ind w:firstLine="709"/>
        <w:rPr/>
      </w:pPr>
      <w:r>
        <w:rPr/>
        <w:t>на 1 января 2024 года в сумме 0 рублей, в том числе верхний предел долга по</w:t>
      </w:r>
    </w:p>
    <w:p>
      <w:pPr>
        <w:pStyle w:val="Normal"/>
        <w:ind w:firstLine="709"/>
        <w:rPr/>
      </w:pPr>
      <w:r>
        <w:rPr/>
        <w:t>муниципальным гарантиям 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ind w:firstLine="709"/>
        <w:rPr/>
      </w:pPr>
      <w:r>
        <w:rPr/>
        <w:t>5) объем расходов на обслуживание муниципального долга</w:t>
      </w:r>
    </w:p>
    <w:p>
      <w:pPr>
        <w:pStyle w:val="Normal"/>
        <w:ind w:firstLine="709"/>
        <w:rPr/>
      </w:pPr>
      <w:r>
        <w:rPr/>
        <w:t>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ind w:firstLine="709"/>
        <w:rPr/>
      </w:pPr>
      <w:r>
        <w:rPr>
          <w:rFonts w:eastAsia="Arial"/>
        </w:rPr>
        <w:t>6) дефицит бюджета Ченцовского сельского поселения Сусанинского муниципального района Костромской области на 2023 год в сумме 3254 рубля.</w:t>
      </w:r>
    </w:p>
    <w:p>
      <w:pPr>
        <w:pStyle w:val="Normal"/>
        <w:ind w:firstLine="709"/>
        <w:rPr/>
      </w:pP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(в ред. </w:t>
      </w:r>
      <w:hyperlink r:id="rId6" w:tgtFrame="Executing">
        <w:r>
          <w:rPr>
            <w:rFonts w:eastAsia="Times New Roman" w:cs="Times New Roman"/>
            <w:kern w:val="0"/>
            <w:sz w:val="24"/>
            <w:szCs w:val="24"/>
            <w:lang w:val="ru-RU" w:eastAsia="ru-RU" w:bidi="ar-SA"/>
          </w:rPr>
          <w:t>31.03.2023 № 6/79</w:t>
        </w:r>
      </w:hyperlink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;  28.04.2023 №18/91, 27.07.2023 №25/98)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2. Утвердить основные характеристики бюджета Ченцовского сельского поселения Сусанинского муниципального района Костромской области на плановый период на 2024 год и 2025 год: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1) общий объем доходов на 2024 год в сумме 6 877 048 рублей и на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2025 год в сумме 7 093 878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2) общий объем расходов на 2024 год в сумме 6 878 916 рублей, в том числе условно утвержденные расходы в сумме – </w:t>
      </w:r>
      <w:r>
        <w:rPr/>
        <w:t>160300 рублей.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и на 2025 год в сумме 7 095 315 рубля, в том числе условно утвержденные расходы в сумме – 331000 рубль.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3) резервный фонд администрации Ченцовского сельского поселения Сусанинского муниципального района Костромской области на 2024 год в сумме 50000 рублей и на 2025 год в сумме 50000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4) верхний предел муниципального внутреннего долга на 1 января</w:t>
      </w:r>
      <w:r>
        <w:rPr/>
        <w:t xml:space="preserve"> </w:t>
      </w:r>
      <w:r>
        <w:rPr>
          <w:color w:val="000000"/>
        </w:rPr>
        <w:t xml:space="preserve">2025 года в сумме 0 рублей, в том числе верхний предел долга по муниципальным гарантиям Ченцовского сельского поселения Сусанинского муниципального района Костромской области в сумме 0 рублей и верхний предел муниципального Ченцовского сельского поселения Сусанинского муниципального района Костромской области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на 1 января 2026 года в сумме 0 рублей, в том числе верхний предел долга по муниципальным гарантиям 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5) объем расходов на обслуживание муниципального долга</w:t>
      </w:r>
      <w:r>
        <w:rPr/>
        <w:t xml:space="preserve"> </w:t>
      </w:r>
      <w:r>
        <w:rPr>
          <w:color w:val="000000"/>
        </w:rPr>
        <w:t>Ченцовского сельского поселения Сусанинского муниципального района Костромской области на 2024 год в сумме 0 рублей и объем расходов на</w:t>
      </w:r>
      <w:r>
        <w:rPr/>
        <w:t xml:space="preserve"> </w:t>
      </w:r>
      <w:r>
        <w:rPr>
          <w:color w:val="000000"/>
        </w:rPr>
        <w:t>обслуживание муниципального долга Ченцовского сельского поселения Сусанинского муниципального района Костромской области на 2025 год в сумме 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6) дефицит бюджета Ченцовского сельского поселения Сусанинского муниципального района Костромской области на 2024 год в сумме 1868 рублей и на 2025 год в сумме 1437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3. Установить, что в соответствии с пунктом 8 статьи 217 </w:t>
      </w:r>
      <w:hyperlink r:id="rId7" w:tgtFrame="ФЕДЕРАЛЬНЫЙ ЗАКОН от 31.07.1998 № 145-ФЗ ГОСУДАРСТВЕННАЯ ДУМА ФЕДЕРАЛЬНОГО СОБРАНИЯ РФ БЮДЖЕТНЫЙ КОДЕКС РОССИЙСКОЙ ФЕДЕРАЦИИ">
        <w:r>
          <w:rPr/>
          <w:t>Бюджетного кодекса</w:t>
        </w:r>
      </w:hyperlink>
      <w:r>
        <w:rPr>
          <w:color w:val="000000"/>
        </w:rPr>
        <w:t xml:space="preserve"> Российской Федерации в сводную бюджетную роспись могут быть</w:t>
      </w:r>
      <w:r>
        <w:rPr/>
        <w:t xml:space="preserve"> </w:t>
      </w:r>
      <w:r>
        <w:rPr>
          <w:color w:val="000000"/>
        </w:rPr>
        <w:t xml:space="preserve">внесены изменения без внесения изменений в решение о бюджете Ченцовского сельского поселения Сусанинского муниципального района Костромской области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4. Утвердить объем поступлений доходов в бюджет Ченцовского сельского поселения Сусанинского муниципального район Костромской области по кодам классификации доходов на 2023 год и на плановый период на 2024 год и на 2025 год в суммах согласно приложениям № 1 и № 2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5. Утвердить объем межбюджетных трансфертов, передаваемых из бюджета Ченцовского сельского поселения Сусанинского муниципального район Костромской области бюджету Сусанинского муниципального района на 2023 год в сумме 915 227 рублей, согласно приложению №3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6. Утвердить прогнозируемый объем межбюджетных трансфертов,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передаваемых из бюджета Ченцовского сельского поселения Сусанинского муниципального район Костромской области бюджету Сусанинского муниципального района, на плановый период на 2024 год в сумме </w:t>
      </w:r>
      <w:r>
        <w:rPr/>
        <w:t>915227 рублей и на</w:t>
      </w:r>
      <w:r>
        <w:rPr>
          <w:color w:val="000000"/>
        </w:rPr>
        <w:t xml:space="preserve"> 2025 год в сумме 915227 рублей, согласно приложению № 4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7. Утвердить источники финансирования дефицита бюджета Ченцовского сельского поселения Сусанинского муниципального района Костромской области , перечень статей и видов источников финансирования дефицита бюджета Ченцовского сельского поселения Сусанинского муниципального района Костромской области на 2023 год и на плановый период на 2024 - 2025 годы согласно приложениям № 5 и № 6 к настоящему Решению.</w:t>
      </w:r>
      <w:r>
        <w:rPr>
          <w:rStyle w:val="Style12"/>
        </w:rPr>
        <w:t xml:space="preserve"> </w:t>
      </w:r>
      <w:r>
        <w:rPr>
          <w:rStyle w:val="Style12"/>
        </w:rPr>
        <w:t>(в ред. 27.07.2023 №25/98)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8. Утвердить объем и распределение бюджетных ассигнований бюджета Ченцовского сельского поселения Сусанинского муниципального района Костромской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 и на плановый период на 2024 - 2025 годы согласно приложениям № 7 и № 8 к настоящему Решению.</w:t>
      </w:r>
      <w:r>
        <w:rPr>
          <w:rStyle w:val="Style12"/>
        </w:rPr>
        <w:t xml:space="preserve"> 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 (в ред. 31.03.2023 №6/79 ; 28.04.2023 №18/91, 27.07.2023 №25/98)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9. Утвердить ведомственную структуру расходов бюджета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Ченцовского сельского поселения Сусанинского муниципального района Костромской области на 2023 год и на плановый период на 2024 - 2025 годы согласно приложениям № 9 и № 10 к настоящему Решению.</w:t>
      </w:r>
      <w:r>
        <w:rPr>
          <w:rStyle w:val="Style12"/>
        </w:rPr>
        <w:t xml:space="preserve"> </w:t>
      </w:r>
      <w:r>
        <w:rPr>
          <w:rStyle w:val="Style12"/>
          <w:color w:val="729FCF"/>
        </w:rPr>
        <w:t xml:space="preserve"> 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(в ред. 31.03.2023 №6/79 ; 28.04.2023 №18/91, 27.07.2023 №25/98)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10. Утвердить объем и распределение бюджетных ассигнований бюджета Ченцовского сельского поселения Сусанинского муниципального района Костромской области, направляемых на исполнение публичных нормативных обязательств на 2023 год и на плановый период на 2024 - 2025 годы согласно приложениям № 11 и № 12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11. Утвердить объем бюджетных ассигнований муниципального дорожного фонда Ченцовского сельского поселения Сусанинского муниципального района Костромской области на 2023 год в сумме 440190 рублей, на плановый период на 2024 год в сумме 353100 рублей и на 2025 год в сумме 372930 рублей</w:t>
      </w:r>
      <w:r>
        <w:rPr>
          <w:color w:val="548DD4"/>
        </w:rPr>
        <w:t xml:space="preserve">. </w:t>
      </w:r>
    </w:p>
    <w:p>
      <w:pPr>
        <w:pStyle w:val="Normal"/>
        <w:ind w:firstLine="709"/>
        <w:rPr/>
      </w:pP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(в ред. </w:t>
      </w:r>
      <w:hyperlink r:id="rId8" w:tgtFrame="Executing">
        <w:r>
          <w:rPr>
            <w:rFonts w:eastAsia="Times New Roman" w:cs="Times New Roman"/>
            <w:kern w:val="0"/>
            <w:sz w:val="24"/>
            <w:szCs w:val="24"/>
            <w:lang w:val="ru-RU" w:eastAsia="ru-RU" w:bidi="ar-SA"/>
          </w:rPr>
          <w:t>31.03.2023 № 6/79</w:t>
        </w:r>
      </w:hyperlink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12. Установить, что в 2023 году и на плановый период 2024 и 2025 годов муниципальных гарантий предоставлять не планируется.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13. Установить предельный объем муниципального долга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Ченцовского сельского поселения Сусанинского муниципального района Костромской области на 2023 год в сумме 0 рублей, на плановый период на 2024 год в сумме 0 рублей и на 2025 год в сумме 0 рублей.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14.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 Ченцовского сельского поселения Сусанинского муниципального района Костромской области, зачисляются в бюджет Ченцовского сельского поселения Сусанинского муниципального района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15. Особенности исполнения бюджетных ассигнований на обеспечение деятельности органов местного самоуправления Ченцовского сельского поселения на 2023 год на плановый период 2024 и 2025 годов 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Органы местного самоуправления поселения не вправе принимать решений, приводящих к увеличению в 2023 году на плановый период 2024 и 2025 годов численности муниципальных служащих поселения, работников муниципальных учреждений, за исключением случаев, связанных с изменением состава и (или) функций органов местного самоуправления поселения, и муниципальных учреждений поселения.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color w:val="000000"/>
        </w:rPr>
        <w:t>Увеличить (проиндексировать) с 1 октября 2023 года в 1,055 раза размер ежемесячного денежного вознаграждения лиц, замещающих муниципальные должности Ченцовского сельского поселения, и окладов месячного денежного содержания муниципальных служащих Ченцовского сельского поселения, а также месячных должностных окладов работников органов местного самоуправления , замещающих должности, не являющиеся должностями муниципальной службы</w:t>
      </w:r>
      <w:r>
        <w:rPr>
          <w:rStyle w:val="Style12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16. Особенности исполнения местного бюджета на 2023 год и на плановый период 2024 и 2025 годов: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1.Казначейское обслуживание исполнения местного бюджета осуществляется в соответствии со статьей 215.1 бюджетного кодекса Российской Федерации на казначейских счетах финансового органа муниципального образования, открытых в Управлении Федерального казначейства по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Учет операций при казначейском обслуживании по исполнению местного бюджета возлагается на финансовый орган Ченцовского сельского поселения и осуществляется</w:t>
      </w:r>
      <w:r>
        <w:rPr/>
        <w:t xml:space="preserve"> на основе</w:t>
      </w:r>
      <w:r>
        <w:rPr>
          <w:color w:val="000000"/>
        </w:rPr>
        <w:t xml:space="preserve"> </w:t>
      </w:r>
      <w:r>
        <w:rPr/>
        <w:t>соглашения</w:t>
      </w:r>
      <w:r>
        <w:rPr>
          <w:color w:val="000000"/>
        </w:rPr>
        <w:t xml:space="preserve"> на казначейских счетах бюджета,</w:t>
      </w:r>
      <w:r>
        <w:rPr>
          <w:color w:val="FF0000"/>
        </w:rPr>
        <w:t xml:space="preserve"> </w:t>
      </w:r>
      <w:r>
        <w:rPr/>
        <w:t>открытых на едином казначейском счете, с использованием лицевых счетов получателей средств местного бюджета.</w:t>
      </w:r>
      <w:r>
        <w:rPr>
          <w:color w:val="FF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нормативно-правовыми актами Российской Федерации, Костромской области, Сусанинского муниципального района учитываются на лицевых счетах открытых в Управлении Федерального казначейства по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2.Установить, что получатели средств местного бюджета при заключении договоров (муниципальных контрактов) на поставку товаров (выполнение работ, оказание услуг), подлежащих оплате за счет средств местного бюджета, вправе предусмотреть авансовые платежи: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В размере 100 процентов суммы договора — по договорам о предоставлении услуг связи, о подписке на печатные издания и об их приобретении, горюче-смазочных материалов,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 об оказании услуг общественными объединениями;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В размере 30 процентов суммы договора, если иное не предусмотрено действующим законодательством, по остальным договорам.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3.Предоставить право финансовому отделу</w:t>
      </w:r>
      <w:r>
        <w:rPr>
          <w:color w:val="000000"/>
        </w:rPr>
        <w:t xml:space="preserve"> администрации поселения устанавливать сроки доведения лимитов бюджетных обязательств на 2023 год до главных распорядителей средств местного бюджета.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4. Предоставить право Администрации Ченцовского сельского поселения в случае изменения в 2023 году и на плановый период 2024 и 2025 годов классификации доходов бюджетов Российской Федерации и (или) функций муниципальных органов исполнительной власти, а также находящихся в их ведении муниципальных учреждений, вносить соответствующие изменения в перечень закрепленных за ними кодов доходов бюджетной классификации Российской Федерации или классификации источников финансирования дефицита бюджета на основании нормативно правового акта (муниципального правового акта) Администрации Ченцовского сельского поселения.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17. Настоящее Решение вступает в силу с 1 января 2023 года и подлежит официальному опубликованию не позднее 10 дней после его подписания в установленном </w:t>
      </w:r>
      <w:hyperlink r:id="rId9" w:tgtFrame="УСТАВ МО от 09.06.2018 № 20 Совет депутатов Ченцовского сельского поселения Сусанинского муниципального района Костромской области УСТАВ МУНИЦИПАЛЬНОГО ОБРАЗОВАНИЯ ЧЕНЦОВСКОЕ СЕЛЬСКОЕ ПОСЕЛЕНИЕ СУСАНИНСКОГО МУНИЦИПАЛЬНОГО РАЙОНА КОСТРОМСКОЙ ОБЛАСТИ">
        <w:r>
          <w:rPr/>
          <w:t>Уставом</w:t>
        </w:r>
      </w:hyperlink>
      <w:r>
        <w:rPr>
          <w:color w:val="000000"/>
        </w:rPr>
        <w:t xml:space="preserve"> Ченцовского сельского поселения Сусанинского муниципального района Костромской области порядке.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/>
      </w:pPr>
      <w:r>
        <w:rPr>
          <w:color w:val="000000"/>
        </w:rPr>
        <w:t>Глава</w:t>
      </w:r>
      <w:r>
        <w:rPr>
          <w:color w:val="000000"/>
          <w:spacing w:val="-13"/>
        </w:rPr>
        <w:t xml:space="preserve"> Ченцовского сельского поселения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Сусанинского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/>
      </w:pPr>
      <w:r>
        <w:rPr>
          <w:color w:val="000000"/>
          <w:spacing w:val="-13"/>
        </w:rPr>
        <w:t>муниципального района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Костромской области ,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</w:rPr>
        <w:t xml:space="preserve">Председатель Совета депутатов </w:t>
      </w:r>
      <w:r>
        <w:rPr>
          <w:color w:val="000000"/>
          <w:spacing w:val="-13"/>
        </w:rPr>
        <w:t>Ченцовского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  <w:spacing w:val="-13"/>
        </w:rPr>
        <w:t>сельского поселения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Сусанинского муниципального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>
          <w:color w:val="000000"/>
          <w:spacing w:val="-13"/>
        </w:rPr>
      </w:pPr>
      <w:r>
        <w:rPr>
          <w:color w:val="000000"/>
          <w:spacing w:val="-13"/>
        </w:rPr>
        <w:t>района Костромской области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  <w:spacing w:val="-13"/>
        </w:rPr>
        <w:t xml:space="preserve"> </w:t>
      </w:r>
      <w:r>
        <w:rPr>
          <w:color w:val="000000"/>
          <w:spacing w:val="-13"/>
        </w:rPr>
        <w:t xml:space="preserve">В.С. Брянцева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lef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rPr/>
      </w:pPr>
      <w:r>
        <w:rPr/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1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0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>; от 28.04.2023 №18/91;</w:t>
      </w:r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>27.07.2023 №25/98</w:t>
      </w:r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>)</w:t>
      </w:r>
    </w:p>
    <w:p>
      <w:pPr>
        <w:pStyle w:val="Normal"/>
        <w:jc w:val="center"/>
        <w:rPr>
          <w:rFonts w:cs="Arial"/>
          <w:bCs/>
          <w:kern w:val="2"/>
        </w:rPr>
      </w:pPr>
      <w:r>
        <w:rPr>
          <w:rFonts w:cs="Arial"/>
          <w:b/>
          <w:bCs/>
          <w:kern w:val="2"/>
          <w:sz w:val="32"/>
          <w:szCs w:val="32"/>
        </w:rPr>
        <w:t>ОБЪЕМ ПОСТУПЛЕНИЙ ДОХОДОВ В БЮДЖЕТ ЧЕНЦОВСКОГО СЕЛЬСКОГО ПОСЕЛЕНИЯ СУСАНИНСКОГО МУНИЦИПАЛЬНОГО РАЙОНА КОСТРОМСКОЙ ОБЛАСТИ ПО КОДАМ КЛАССИФИКАЦИИ ДОХОДОВ БЮДЖЕТОВ НА 2023 ГОД</w:t>
      </w:r>
    </w:p>
    <w:p>
      <w:pPr>
        <w:pStyle w:val="Normal"/>
        <w:shd w:val="clear" w:color="auto" w:fill="FFFFFF"/>
        <w:tabs>
          <w:tab w:val="clear" w:pos="708"/>
          <w:tab w:val="left" w:pos="6542" w:leader="underscore"/>
        </w:tabs>
        <w:ind w:firstLine="709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tbl>
      <w:tblPr>
        <w:tblW w:w="10376" w:type="dxa"/>
        <w:jc w:val="left"/>
        <w:tblInd w:w="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17"/>
        <w:gridCol w:w="2513"/>
        <w:gridCol w:w="4163"/>
        <w:gridCol w:w="1883"/>
      </w:tblGrid>
      <w:tr>
        <w:trPr>
          <w:trHeight w:val="571" w:hRule="exact"/>
        </w:trPr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413" w:right="408" w:hanging="0"/>
              <w:rPr/>
            </w:pPr>
            <w:r>
              <w:rPr/>
              <w:t>Ко</w:t>
            </w:r>
            <w:r>
              <w:rPr>
                <w:color w:val="000000"/>
                <w:spacing w:val="-2"/>
              </w:rPr>
              <w:t xml:space="preserve">д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355" w:right="365" w:hanging="0"/>
              <w:rPr/>
            </w:pPr>
            <w:r>
              <w:rPr>
                <w:color w:val="000000"/>
                <w:spacing w:val="-2"/>
              </w:rPr>
              <w:t xml:space="preserve">Наименование кода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111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0" w:right="0" w:hanging="0"/>
              <w:rPr/>
            </w:pPr>
            <w:r>
              <w:rPr>
                <w:color w:val="000000"/>
              </w:rPr>
              <w:t xml:space="preserve">Главный </w:t>
            </w:r>
            <w:r>
              <w:rPr>
                <w:color w:val="000000"/>
                <w:spacing w:val="-2"/>
              </w:rPr>
              <w:t>администратор</w:t>
            </w:r>
          </w:p>
          <w:p>
            <w:pPr>
              <w:pStyle w:val="Normal"/>
              <w:widowControl w:val="false"/>
              <w:shd w:fill="FFFFFF" w:val="clear"/>
              <w:spacing w:lineRule="exact" w:line="274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доходов</w:t>
            </w:r>
          </w:p>
          <w:p>
            <w:pPr>
              <w:pStyle w:val="Normal"/>
              <w:widowControl w:val="false"/>
              <w:shd w:fill="FFFFFF" w:val="clear"/>
              <w:spacing w:lineRule="exact" w:line="274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86" w:right="96" w:hanging="0"/>
              <w:rPr/>
            </w:pPr>
            <w:r>
              <w:rPr>
                <w:color w:val="000000"/>
              </w:rPr>
              <w:t xml:space="preserve">Вида и подвида доходов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4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spacing w:lineRule="exact" w:line="274"/>
              <w:ind w:left="86" w:right="9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fill="FFFFFF" w:val="clear"/>
              <w:spacing w:lineRule="exact" w:line="274"/>
              <w:ind w:left="86" w:right="96" w:hanging="0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spacing w:lineRule="exact" w:line="274"/>
              <w:ind w:left="86" w:right="9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fill="FFFFFF" w:val="clear"/>
              <w:spacing w:lineRule="exact" w:line="274"/>
              <w:ind w:left="86" w:right="96" w:hanging="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680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100 00000 00 0000 000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>
                <w:b/>
              </w:rPr>
              <w:t>8 905 190</w:t>
            </w:r>
          </w:p>
        </w:tc>
      </w:tr>
      <w:tr>
        <w:trPr>
          <w:trHeight w:val="610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101 00000 00 0000 000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Налоги на прибыль,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>
                <w:b/>
              </w:rPr>
              <w:t>3 880 000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>
                <w:b/>
              </w:rPr>
              <w:t>3 880 000</w:t>
            </w:r>
          </w:p>
        </w:tc>
      </w:tr>
      <w:tr>
        <w:trPr>
          <w:trHeight w:val="249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101 02010 01 0000 110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2 560 000</w:t>
            </w:r>
          </w:p>
        </w:tc>
      </w:tr>
      <w:tr>
        <w:trPr>
          <w:trHeight w:val="3856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101 02020 01 0000 110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20 000</w:t>
            </w:r>
          </w:p>
        </w:tc>
      </w:tr>
      <w:tr>
        <w:trPr>
          <w:trHeight w:val="113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101 02030 01 0000 110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с доходов, полученных гражданами в соответствии со статьей 228 Налогового кодекса РФ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50 000</w:t>
            </w:r>
          </w:p>
        </w:tc>
      </w:tr>
      <w:tr>
        <w:trPr>
          <w:trHeight w:val="1645" w:hRule="atLeas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101 02080 01 0000 110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100 000</w:t>
            </w:r>
          </w:p>
        </w:tc>
      </w:tr>
      <w:tr>
        <w:trPr>
          <w:trHeight w:val="1645" w:hRule="atLeast"/>
        </w:trPr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ind w:left="0" w:right="0" w:hanging="0"/>
              <w:rPr/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101 02130 01 0000 110</w:t>
            </w:r>
          </w:p>
        </w:tc>
        <w:tc>
          <w:tcPr>
            <w:tcW w:w="4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/>
              <w:ind w:left="0" w:right="0" w:hanging="0"/>
              <w:rPr>
                <w:rFonts w:ascii="YS Text" w:hAnsi="YS Text" w:cs="YS Text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100 000</w:t>
            </w:r>
          </w:p>
        </w:tc>
      </w:tr>
      <w:tr>
        <w:trPr>
          <w:trHeight w:val="1645" w:hRule="atLeast"/>
        </w:trPr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ind w:left="0" w:right="0" w:hanging="0"/>
              <w:rPr/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101 02140 01 0000 110</w:t>
            </w:r>
          </w:p>
        </w:tc>
        <w:tc>
          <w:tcPr>
            <w:tcW w:w="4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 (сумма платежа (перерасчеты, недоимка и задолженность по соответствующему платежу, в том числе по отмененному)).</w:t>
            </w:r>
            <w:r>
              <w:rPr/>
              <w:t xml:space="preserve"> 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1 050 000</w:t>
            </w:r>
          </w:p>
        </w:tc>
      </w:tr>
      <w:tr>
        <w:trPr>
          <w:trHeight w:val="113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180 190</w:t>
            </w:r>
          </w:p>
        </w:tc>
      </w:tr>
      <w:tr>
        <w:trPr>
          <w:trHeight w:val="113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180 190</w:t>
            </w:r>
          </w:p>
        </w:tc>
      </w:tr>
      <w:tr>
        <w:trPr>
          <w:trHeight w:val="221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103 02230 01 0000 110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85 350</w:t>
            </w:r>
          </w:p>
        </w:tc>
      </w:tr>
      <w:tr>
        <w:trPr>
          <w:trHeight w:val="3005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103 02240 01 0000 110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590</w:t>
            </w:r>
          </w:p>
        </w:tc>
      </w:tr>
      <w:tr>
        <w:trPr>
          <w:trHeight w:val="249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103 02250 01 0000 110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105 510</w:t>
            </w:r>
          </w:p>
        </w:tc>
      </w:tr>
      <w:tr>
        <w:trPr>
          <w:trHeight w:val="227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103 02260 01 0000 110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-11 260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105 00000 00 0000 000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4 200 000</w:t>
            </w:r>
          </w:p>
        </w:tc>
      </w:tr>
      <w:tr>
        <w:trPr>
          <w:trHeight w:val="1020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1 05 01000 00 0000 110</w:t>
            </w:r>
          </w:p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br/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Налог, взимаемый в связи с применением упрощенной системы налогообложения</w:t>
            </w:r>
          </w:p>
          <w:p>
            <w:pPr>
              <w:pStyle w:val="Style20"/>
              <w:widowControl w:val="false"/>
              <w:snapToGrid w:val="false"/>
              <w:spacing w:lineRule="atLeast" w:line="10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128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105 01010 01 0000 110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13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105 01011 01 0000 110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Налог, взимаемый с налогоплательщиков,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выбравших в качестве налогообложения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53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105 01020 01 0000 110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486 000</w:t>
            </w:r>
          </w:p>
        </w:tc>
      </w:tr>
      <w:tr>
        <w:trPr>
          <w:trHeight w:val="2268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105 01021 01 0000 110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Налог, взимаемый с налогоплательщиков, выбравших в качестве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486 000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105 03000 01 0000 110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3 500 000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105 03010 01 0000 110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3 500 000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106 00000 00 0000 000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515 000</w:t>
            </w:r>
          </w:p>
        </w:tc>
      </w:tr>
      <w:tr>
        <w:trPr>
          <w:trHeight w:val="55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Cs/>
              </w:rPr>
            </w:pPr>
            <w:r>
              <w:rPr>
                <w:bCs/>
              </w:rPr>
              <w:t>106 01000 00 0000 110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Cs/>
              </w:rPr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70 000</w:t>
            </w:r>
          </w:p>
        </w:tc>
      </w:tr>
      <w:tr>
        <w:trPr>
          <w:trHeight w:val="136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106 01030 10 0000 110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70 000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106 06000 00 0000 000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445 000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106 06030 00 0000 110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Земельный налог с организаций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190 000</w:t>
            </w:r>
          </w:p>
        </w:tc>
      </w:tr>
      <w:tr>
        <w:trPr>
          <w:trHeight w:val="112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106 06033 10 0000 110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190 000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106 06040 00 0000 110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0"/>
              <w:ind w:left="0" w:right="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Земельный налог с физических лиц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255 000</w:t>
            </w:r>
          </w:p>
        </w:tc>
      </w:tr>
      <w:tr>
        <w:trPr>
          <w:trHeight w:val="1119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106 06043 10 0000 110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255 000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108 00000 00 0000 000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1 000</w:t>
            </w:r>
          </w:p>
        </w:tc>
      </w:tr>
      <w:tr>
        <w:trPr>
          <w:trHeight w:val="170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108 04000 01 0000 110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3742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108 04020 01 1000 110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1343" w:hRule="atLeas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111 00000 00 0000 000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21 000</w:t>
            </w:r>
          </w:p>
        </w:tc>
      </w:tr>
      <w:tr>
        <w:trPr>
          <w:trHeight w:val="249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111 09000 00 0000 120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21 000</w:t>
            </w:r>
          </w:p>
        </w:tc>
      </w:tr>
      <w:tr>
        <w:trPr>
          <w:trHeight w:val="2778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111 09040 00 0000 120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21 000</w:t>
            </w:r>
          </w:p>
        </w:tc>
      </w:tr>
      <w:tr>
        <w:trPr>
          <w:trHeight w:val="249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111 09045 10 0000 120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21 000</w:t>
            </w:r>
          </w:p>
        </w:tc>
      </w:tr>
      <w:tr>
        <w:trPr>
          <w:trHeight w:val="90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107 000</w:t>
            </w:r>
          </w:p>
        </w:tc>
      </w:tr>
      <w:tr>
        <w:trPr>
          <w:trHeight w:val="683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113 01000 00 0000 130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оказания платных услуг (работ)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107 000</w:t>
            </w:r>
          </w:p>
        </w:tc>
      </w:tr>
      <w:tr>
        <w:trPr>
          <w:trHeight w:val="565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113 01990 00 0000 130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оказания платных услуг (работ)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107 000</w:t>
            </w:r>
          </w:p>
        </w:tc>
      </w:tr>
      <w:tr>
        <w:trPr>
          <w:trHeight w:val="113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113 01995 10 0000 130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107 000</w:t>
            </w:r>
          </w:p>
        </w:tc>
      </w:tr>
      <w:tr>
        <w:trPr>
          <w:trHeight w:val="56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115 00000 00 0000 000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Административные платежи и сборы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1 000</w:t>
            </w:r>
          </w:p>
        </w:tc>
      </w:tr>
      <w:tr>
        <w:trPr>
          <w:trHeight w:val="141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115 02000 00 0000 140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141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115 02050 10 0000 140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200 00000 00 0000 000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1 459 148</w:t>
            </w:r>
          </w:p>
        </w:tc>
      </w:tr>
      <w:tr>
        <w:trPr>
          <w:trHeight w:val="90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1 459 148</w:t>
            </w:r>
          </w:p>
        </w:tc>
      </w:tr>
      <w:tr>
        <w:trPr>
          <w:trHeight w:val="62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587 413</w:t>
            </w:r>
          </w:p>
        </w:tc>
      </w:tr>
      <w:tr>
        <w:trPr>
          <w:trHeight w:val="107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202 15001 00 0000 150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491 000</w:t>
            </w:r>
          </w:p>
        </w:tc>
      </w:tr>
      <w:tr>
        <w:trPr>
          <w:trHeight w:val="141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202 15001 10 0000 150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491 000</w:t>
            </w:r>
          </w:p>
        </w:tc>
      </w:tr>
      <w:tr>
        <w:trPr>
          <w:trHeight w:val="99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202 16001 00 0000 150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96 413</w:t>
            </w:r>
          </w:p>
        </w:tc>
      </w:tr>
      <w:tr>
        <w:trPr>
          <w:trHeight w:val="113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202 16001 10 0000 150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96 413</w:t>
            </w:r>
          </w:p>
        </w:tc>
      </w:tr>
      <w:tr>
        <w:trPr>
          <w:trHeight w:val="907" w:hRule="atLeas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280" w:after="119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246 200</w:t>
            </w:r>
          </w:p>
        </w:tc>
      </w:tr>
      <w:tr>
        <w:trPr>
          <w:trHeight w:val="3005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202 20216 10 0000 150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56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202 29999 10 0000 150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246 200</w:t>
            </w:r>
          </w:p>
        </w:tc>
      </w:tr>
      <w:tr>
        <w:trPr>
          <w:trHeight w:val="90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202 30000 00 0000 150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122 900</w:t>
            </w:r>
          </w:p>
        </w:tc>
      </w:tr>
      <w:tr>
        <w:trPr>
          <w:trHeight w:val="129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202 30024 00 0000 150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1 900</w:t>
            </w:r>
          </w:p>
        </w:tc>
      </w:tr>
      <w:tr>
        <w:trPr>
          <w:trHeight w:val="128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202 30024 10 0000 150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1 900</w:t>
            </w:r>
          </w:p>
        </w:tc>
      </w:tr>
      <w:tr>
        <w:trPr>
          <w:trHeight w:val="141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2 02 35118 00 0000 150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121 000</w:t>
            </w:r>
          </w:p>
        </w:tc>
      </w:tr>
      <w:tr>
        <w:trPr>
          <w:trHeight w:val="1708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202 35118 10 0000 150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121 000</w:t>
            </w:r>
          </w:p>
        </w:tc>
      </w:tr>
      <w:tr>
        <w:trPr>
          <w:trHeight w:val="62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202 40000 00 0000 150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502 635</w:t>
            </w:r>
          </w:p>
        </w:tc>
      </w:tr>
      <w:tr>
        <w:trPr>
          <w:trHeight w:val="198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202 40014 00 0000 150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502 635</w:t>
            </w:r>
          </w:p>
        </w:tc>
      </w:tr>
      <w:tr>
        <w:trPr>
          <w:trHeight w:val="2211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202 40014 10 0000 150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502 635</w:t>
            </w:r>
          </w:p>
        </w:tc>
      </w:tr>
      <w:tr>
        <w:trPr>
          <w:trHeight w:val="90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202 49999 00 0000 150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межбюджетные трансферты, передаваемые бюджетам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87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202 49999 10 0000 150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842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204 00000 00 0000 000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90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2 04 05000 10 0000 150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>
        <w:trPr>
          <w:trHeight w:val="164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204 05020 10 0000 150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624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207 00000 00 0000 000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850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120"/>
              <w:ind w:left="0" w:right="0" w:hanging="0"/>
              <w:rPr/>
            </w:pPr>
            <w:r>
              <w:rPr>
                <w:rFonts w:cs="Arial" w:ascii="Arial" w:hAnsi="Arial"/>
              </w:rPr>
              <w:t>2 0</w:t>
            </w:r>
            <w:r>
              <w:rPr>
                <w:rFonts w:cs="Arial" w:ascii="Arial" w:hAnsi="Arial"/>
                <w:lang w:val="ru-RU"/>
              </w:rPr>
              <w:t>7</w:t>
            </w:r>
            <w:r>
              <w:rPr>
                <w:rFonts w:cs="Arial" w:ascii="Arial" w:hAnsi="Arial"/>
              </w:rPr>
              <w:t xml:space="preserve"> 05000 10 0000 150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417" w:hRule="exact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207 05020 10 0000 150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426" w:hRule="exact"/>
        </w:trPr>
        <w:tc>
          <w:tcPr>
            <w:tcW w:w="8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b/>
              </w:rPr>
              <w:t>10 364 338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709"/>
        <w:jc w:val="right"/>
        <w:rPr/>
      </w:pPr>
      <w:r>
        <mc:AlternateContent>
          <mc:Choice Requires="wps">
            <w:drawing>
              <wp:anchor behindDoc="0" distT="0" distB="0" distL="24130" distR="24130" simplePos="0" locked="0" layoutInCell="0" allowOverlap="1" relativeHeight="2">
                <wp:simplePos x="0" y="0"/>
                <wp:positionH relativeFrom="margin">
                  <wp:posOffset>984885</wp:posOffset>
                </wp:positionH>
                <wp:positionV relativeFrom="paragraph">
                  <wp:posOffset>287020</wp:posOffset>
                </wp:positionV>
                <wp:extent cx="459740" cy="28575"/>
                <wp:effectExtent l="3810" t="1270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2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hd w:val="clear" w:color="auto" w:fill="FFFFFF"/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6480" rIns="6480" tIns="6480" bIns="64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77.55pt;margin-top:22.6pt;width:36.1pt;height:2.1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shd w:val="clear" w:color="auto" w:fill="FFFFFF"/>
                        <w:ind w:firstLine="70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Приложение № 2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        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6422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поступлений доходов в бюджет </w:t>
      </w:r>
      <w:r>
        <w:rPr>
          <w:b/>
          <w:caps/>
          <w:color w:val="000000"/>
          <w:spacing w:val="-13"/>
          <w:sz w:val="32"/>
        </w:rPr>
        <w:t xml:space="preserve">Ченцовского сельского поселения Сусанинского муниципального района Костромской области по кодам классификации доходов бюджетов </w:t>
      </w:r>
      <w:r>
        <w:rPr>
          <w:b/>
          <w:caps/>
          <w:color w:val="000000"/>
          <w:sz w:val="32"/>
        </w:rPr>
        <w:t xml:space="preserve">на плановый период на 2024 и 2025 </w:t>
      </w:r>
      <w:r>
        <w:rPr>
          <w:b/>
          <w:caps/>
          <w:color w:val="000000"/>
          <w:spacing w:val="-10"/>
          <w:sz w:val="32"/>
        </w:rPr>
        <w:t>годы</w:t>
      </w:r>
    </w:p>
    <w:p>
      <w:pPr>
        <w:pStyle w:val="Normal"/>
        <w:shd w:val="clear" w:color="auto" w:fill="FFFFFF"/>
        <w:tabs>
          <w:tab w:val="clear" w:pos="708"/>
          <w:tab w:val="left" w:pos="6422" w:leader="underscore"/>
        </w:tabs>
        <w:ind w:firstLine="709"/>
        <w:jc w:val="center"/>
        <w:rPr>
          <w:b/>
          <w:b/>
          <w:caps/>
          <w:color w:val="000000"/>
          <w:spacing w:val="-10"/>
          <w:sz w:val="32"/>
        </w:rPr>
      </w:pPr>
      <w:r>
        <w:rPr>
          <w:b/>
          <w:caps/>
          <w:color w:val="000000"/>
          <w:spacing w:val="-10"/>
          <w:sz w:val="32"/>
        </w:rPr>
      </w:r>
    </w:p>
    <w:tbl>
      <w:tblPr>
        <w:tblW w:w="14614" w:type="dxa"/>
        <w:jc w:val="left"/>
        <w:tblInd w:w="-53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819"/>
        <w:gridCol w:w="2306"/>
        <w:gridCol w:w="4096"/>
        <w:gridCol w:w="1149"/>
        <w:gridCol w:w="1295"/>
        <w:gridCol w:w="14"/>
        <w:gridCol w:w="1082"/>
        <w:gridCol w:w="6"/>
        <w:gridCol w:w="13"/>
        <w:gridCol w:w="1416"/>
        <w:gridCol w:w="1417"/>
      </w:tblGrid>
      <w:tr>
        <w:trPr>
          <w:trHeight w:val="571" w:hRule="exact"/>
        </w:trPr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 xml:space="preserve">Код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 xml:space="preserve">Наименование кода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245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(рублей)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9" w:hRule="exact"/>
        </w:trPr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Главный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администратор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доходов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бюджета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 xml:space="preserve">Вида и подвида доходов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40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  <w:tc>
          <w:tcPr>
            <w:tcW w:w="2458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391" w:hRule="exact"/>
        </w:trPr>
        <w:tc>
          <w:tcPr>
            <w:tcW w:w="181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0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2024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2025 год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100 00000 00 0000 000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5732100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5751730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101 00000 00 0000 000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Налоги на прибыль,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101 02010 01 0000 110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hyperlink r:id="rId11">
              <w:r>
                <w:rPr>
                  <w:color w:val="000000"/>
                </w:rPr>
                <w:t>Налогового кодекса</w:t>
              </w:r>
            </w:hyperlink>
            <w:r>
              <w:rPr/>
              <w:t xml:space="preserve">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2560000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2560000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57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101 02020 01 0000 110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hyperlink r:id="rId12">
              <w:r>
                <w:rPr>
                  <w:rFonts w:cs="Arial" w:ascii="Arial" w:hAnsi="Arial"/>
                  <w:color w:val="000000"/>
                  <w:sz w:val="24"/>
                  <w:szCs w:val="24"/>
                </w:rPr>
                <w:t>Налогового кодекса</w:t>
              </w:r>
            </w:hyperlink>
            <w:r>
              <w:rPr>
                <w:rFonts w:cs="Arial" w:ascii="Arial" w:hAnsi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101 02030 01 0000 110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Налог на доходы физических лиц с доходов, полученных гражданами в соответствии со статьей 228 </w:t>
            </w:r>
            <w:hyperlink r:id="rId13">
              <w:r>
                <w:rPr>
                  <w:rFonts w:cs="Arial" w:ascii="Arial" w:hAnsi="Arial"/>
                  <w:color w:val="000000"/>
                  <w:sz w:val="24"/>
                  <w:szCs w:val="24"/>
                </w:rPr>
                <w:t>Налогового кодекса</w:t>
              </w:r>
            </w:hyperlink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РФ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92" w:hRule="atLeas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101 02080 01 0000 110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103 00000 00 0000 000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193 100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212930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212930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103 02230 01 0000 110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92120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101830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7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103 02240 01 0000 110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630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680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15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103 02250 01 0000 110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112410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122960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7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103 02260 01 0000 110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-12060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-12540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9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105 00000 00 0000 000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2000000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2000000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1 05 01000 00 0000 110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Налог, взимаемый в связи с применением упрощенной системы налогообложения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28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105 01011 01 0000 110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Налог, взимаемый с налогоплательщиков,</w:t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выбравших в качестве налогообложения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71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105 01020 01 0000 110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3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105 01021 01 0000 110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70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105 03000 01 0000 110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1 300 000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1 300 000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105 03010 01 0000 110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1 300 000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1300000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3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106 00000 00 0000 000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106 01000 00 0000 110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106 01030 10 0000 110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106 06000 00 0000 000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445 000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445 000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106 06030 00 0000 110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Земельный налог с организаций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10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46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106 06033 10 0000 110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10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46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106 06040 00 0000 110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Земельный налог с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106 06043 10 0000 110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9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108 00000 00 0000 000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0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108 04000 01 0000 110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7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108 04020 01 1000 110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6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111 00000 00 0000 000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8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111 09000 00 0000 120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111 09040 00 0000 120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0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52" w:type="dxa"/>
            <w:gridSpan w:val="4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66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111 09045 10 0000 120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83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113 00000 00 0000 000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8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113 01000 00 0000 130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оказания платных услуг (работ)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113 01990 00 0000 130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оказания платных услуг (работ)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113 01995 10 0000 130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115 00000 00 0000 000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Административные платежи и сборы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4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115 02000 00 0000 140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115 02050 10 0000 140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Платежи, взимаемые органами местного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самоуправления (организациями) сельских поселений за выполнение определенных функций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200 00000 00 0000 000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1 144 948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1 342 148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8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202 00000 00 0000 000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984 648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1 011 148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497 413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519 413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4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202 15001 00 0000 150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423 000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202 15001 10 0000150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423 000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9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202 16001 00 0000 150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8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202 16001 10 0000150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97 200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97 200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28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202 20216 10 0000 150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202 29999 10 0000 150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8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202 30000 00 0000 150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128 400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132 900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202 30024 00 0000 150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8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202 30024 10 0000 150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2 02 35118 00 0000 150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126 500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97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202 35118 10 0000 150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126 500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202 40000 00 0000 150</w:t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1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202 40014 00 0000 150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202 40014 10 0000 150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1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202 49999 00 0000 150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9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202 49999 10 0000 150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204 00000 00 0000 000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2 04 05000 10 0000 150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69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204 05020 10 0000 150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7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207 00000 00 0000 000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7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</w:t>
            </w:r>
            <w:r>
              <w:rPr>
                <w:rFonts w:cs="Arial" w:ascii="Arial" w:hAnsi="Arial"/>
                <w:lang w:val="ru-RU"/>
              </w:rPr>
              <w:t>7</w:t>
            </w:r>
            <w:r>
              <w:rPr>
                <w:rFonts w:cs="Arial" w:ascii="Arial" w:hAnsi="Arial"/>
              </w:rPr>
              <w:t xml:space="preserve"> 05000 10 0000 150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5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207 05020 10 0000 150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50" w:hRule="exact"/>
        </w:trPr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6 877 048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7 093 878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spacing w:val="-2"/>
        </w:rPr>
        <w:t>Приложение № 3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ind w:firstLine="709"/>
        <w:jc w:val="center"/>
        <w:rPr/>
      </w:pPr>
      <w:r>
        <w:rPr>
          <w:b/>
          <w:caps/>
          <w:color w:val="000000"/>
          <w:sz w:val="32"/>
        </w:rPr>
        <w:t xml:space="preserve">Объем межбюджетных трансфертов, передаваемых из бюджета Ченцовского сельского поселения бюджету Сусанинского муниципального района на 2023 год </w:t>
      </w:r>
    </w:p>
    <w:p>
      <w:pPr>
        <w:pStyle w:val="Normal"/>
        <w:ind w:firstLine="709"/>
        <w:jc w:val="center"/>
        <w:rPr>
          <w:caps/>
          <w:color w:val="000000"/>
        </w:rPr>
      </w:pPr>
      <w:r>
        <w:rPr>
          <w:caps/>
          <w:color w:val="000000"/>
        </w:rPr>
      </w:r>
    </w:p>
    <w:tbl>
      <w:tblPr>
        <w:tblW w:w="962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578"/>
      </w:tblGrid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Наименование документа - основания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 по обеспечению жителей поселения услугами организаций культуры, по организации и проведения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642126=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color w:val="000000"/>
              </w:rPr>
              <w:t>Соглашение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о передаче полномочий по осуществлению контроля за составлением и исполнением бюджета поселения</w:t>
            </w:r>
          </w:p>
          <w:p>
            <w:pPr>
              <w:pStyle w:val="Normal"/>
              <w:widowControl w:val="false"/>
              <w:ind w:firstLine="70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111642=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161459=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4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ind w:firstLine="709"/>
        <w:jc w:val="center"/>
        <w:rPr/>
      </w:pPr>
      <w:r>
        <w:rPr>
          <w:b/>
          <w:caps/>
          <w:color w:val="000000"/>
          <w:sz w:val="32"/>
        </w:rPr>
        <w:t>Прогнозируемый объем межбюджетных трансфертов, передаваемых из бюджета Ченцовского сельского поселения бюджету Сусанинского муниципального района на плановый период 2024 - 2025 годов</w:t>
      </w:r>
    </w:p>
    <w:p>
      <w:pPr>
        <w:pStyle w:val="Normal"/>
        <w:ind w:firstLine="709"/>
        <w:jc w:val="center"/>
        <w:rPr>
          <w:caps/>
          <w:color w:val="000000"/>
        </w:rPr>
      </w:pPr>
      <w:r>
        <w:rPr>
          <w:caps/>
          <w:color w:val="000000"/>
        </w:rPr>
      </w:r>
    </w:p>
    <w:tbl>
      <w:tblPr>
        <w:tblW w:w="962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578"/>
      </w:tblGrid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Наименование документа - основания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 по обеспечению жителей поселения услугами организаций культуры, по организации и проведения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642126=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color w:val="000000"/>
              </w:rPr>
              <w:t>Соглашение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о передаче полномочий по осуществлению контроля за составлением и исполнением бюджета поселения</w:t>
            </w:r>
          </w:p>
          <w:p>
            <w:pPr>
              <w:pStyle w:val="Normal"/>
              <w:widowControl w:val="false"/>
              <w:ind w:firstLine="70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111642=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161459=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5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4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lang w:eastAsia="zh-CN"/>
        </w:rPr>
        <w:t xml:space="preserve">; от 28.04.2023 №18/91; </w:t>
      </w:r>
      <w:r>
        <w:rPr>
          <w:rStyle w:val="Style12"/>
          <w:rFonts w:eastAsia="Arial" w:cs="Arial"/>
          <w:spacing w:val="-2"/>
          <w:lang w:eastAsia="zh-CN"/>
        </w:rPr>
        <w:t>от 27.07.2023 №25/98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Источники </w:t>
      </w:r>
      <w:r>
        <w:rPr>
          <w:b/>
          <w:caps/>
          <w:color w:val="000000"/>
          <w:spacing w:val="-1"/>
          <w:sz w:val="32"/>
        </w:rPr>
        <w:t>финансирования</w:t>
      </w:r>
      <w:r>
        <w:rPr>
          <w:b/>
          <w:caps/>
          <w:color w:val="000000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>дефицита</w:t>
      </w:r>
      <w:r>
        <w:rPr>
          <w:b/>
          <w:caps/>
          <w:color w:val="000000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 xml:space="preserve">бюджета 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bCs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pacing w:val="-9"/>
          <w:sz w:val="32"/>
        </w:rPr>
        <w:t>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6"/>
          <w:sz w:val="32"/>
        </w:rPr>
        <w:t>перечень статей и видов источников финансирования дефицита бюджета</w:t>
      </w:r>
      <w:r>
        <w:rPr>
          <w:b/>
          <w:bCs/>
          <w:caps/>
          <w:color w:val="000000"/>
          <w:sz w:val="32"/>
        </w:rPr>
        <w:t xml:space="preserve"> 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 xml:space="preserve">на 2023 </w:t>
      </w:r>
      <w:r>
        <w:rPr>
          <w:b/>
          <w:caps/>
          <w:color w:val="000000"/>
          <w:spacing w:val="-2"/>
          <w:sz w:val="32"/>
        </w:rPr>
        <w:t>год</w:t>
      </w:r>
    </w:p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firstLine="709"/>
        <w:jc w:val="center"/>
        <w:rPr>
          <w:b/>
          <w:b/>
          <w:caps/>
          <w:color w:val="000000"/>
          <w:spacing w:val="-2"/>
          <w:sz w:val="32"/>
        </w:rPr>
      </w:pPr>
      <w:r>
        <w:rPr>
          <w:b/>
          <w:caps/>
          <w:color w:val="000000"/>
          <w:spacing w:val="-2"/>
          <w:sz w:val="32"/>
        </w:rPr>
      </w:r>
    </w:p>
    <w:tbl>
      <w:tblPr>
        <w:tblW w:w="967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57"/>
        <w:gridCol w:w="2405"/>
        <w:gridCol w:w="3586"/>
        <w:gridCol w:w="1622"/>
      </w:tblGrid>
      <w:tr>
        <w:trPr>
          <w:trHeight w:val="907" w:hRule="exact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Код классификации источников </w:t>
            </w:r>
            <w:r>
              <w:rPr>
                <w:spacing w:val="-2"/>
              </w:rPr>
              <w:t>финансирования дефицита бюджета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2324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Главного </w:t>
            </w:r>
            <w:r>
              <w:rPr>
                <w:spacing w:val="-2"/>
              </w:rPr>
              <w:t>администратора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бюджета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Группы,подгруппы,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статьи и вида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 бюджета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Наименование групп, подгрупп,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статей, видов 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внутреннего 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дефицита бюджета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</w:tr>
      <w:tr>
        <w:trPr>
          <w:trHeight w:val="969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Источники финансирования дефицита бюджета - ВСЕГО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-3254</w:t>
            </w:r>
          </w:p>
        </w:tc>
      </w:tr>
      <w:tr>
        <w:trPr>
          <w:trHeight w:val="90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01050000000000000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-3254</w:t>
            </w:r>
          </w:p>
        </w:tc>
      </w:tr>
      <w:tr>
        <w:trPr>
          <w:trHeight w:val="624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01050000000000500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56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01050200000000500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850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01050201000000510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90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01050201100000510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56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01050000000000600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  <w:tr>
        <w:trPr>
          <w:trHeight w:val="784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01050200000000600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  <w:tr>
        <w:trPr>
          <w:trHeight w:val="850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01050201000000610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  <w:tr>
        <w:trPr>
          <w:trHeight w:val="850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01050201100000610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hanging="0"/>
        <w:rPr>
          <w:b/>
          <w:b/>
          <w:caps/>
          <w:color w:val="000000"/>
          <w:spacing w:val="-2"/>
          <w:sz w:val="32"/>
        </w:rPr>
      </w:pPr>
      <w:r>
        <w:rPr>
          <w:b/>
          <w:caps/>
          <w:color w:val="000000"/>
          <w:spacing w:val="-2"/>
          <w:sz w:val="3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/>
      </w:pPr>
      <w:r>
        <w:rPr>
          <w:color w:val="000000"/>
          <w:spacing w:val="-2"/>
        </w:rPr>
        <w:t xml:space="preserve">Приложение № 6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Источники финансирования дефицита бюджета </w:t>
      </w:r>
      <w:r>
        <w:rPr>
          <w:b/>
          <w:bCs/>
          <w:caps/>
          <w:color w:val="000000"/>
          <w:spacing w:val="-2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bCs/>
          <w:i/>
          <w:iCs/>
          <w:caps/>
          <w:color w:val="000000"/>
          <w:spacing w:val="-2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>, перечень статей и видов источников финансирования дефицита бюджета</w:t>
      </w:r>
      <w:r>
        <w:rPr>
          <w:b/>
          <w:bCs/>
          <w:caps/>
          <w:color w:val="000000"/>
          <w:spacing w:val="-2"/>
          <w:sz w:val="32"/>
        </w:rPr>
        <w:t xml:space="preserve"> 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pacing w:val="-2"/>
          <w:sz w:val="32"/>
        </w:rPr>
        <w:t>на плановый период на 2024 и</w:t>
      </w:r>
      <w:r>
        <w:rPr>
          <w:b/>
          <w:bCs/>
          <w:caps/>
          <w:color w:val="000000"/>
          <w:spacing w:val="-2"/>
          <w:sz w:val="32"/>
        </w:rPr>
        <w:t xml:space="preserve"> 2025 </w:t>
      </w:r>
      <w:r>
        <w:rPr>
          <w:b/>
          <w:caps/>
          <w:color w:val="000000"/>
          <w:spacing w:val="-2"/>
          <w:sz w:val="32"/>
        </w:rPr>
        <w:t>годы</w:t>
      </w:r>
    </w:p>
    <w:tbl>
      <w:tblPr>
        <w:tblW w:w="1008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60"/>
        <w:gridCol w:w="2375"/>
        <w:gridCol w:w="2886"/>
        <w:gridCol w:w="1350"/>
        <w:gridCol w:w="1418"/>
      </w:tblGrid>
      <w:tr>
        <w:trPr>
          <w:trHeight w:val="827" w:hRule="exact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Код классификации источников </w:t>
            </w:r>
            <w:r>
              <w:rPr>
                <w:spacing w:val="-2"/>
              </w:rPr>
              <w:t>финансирования дефицита бюджета</w:t>
            </w: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 групп,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подгрупп, статей, видов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источников внутреннего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финансирования дефицита</w:t>
            </w:r>
          </w:p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210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Главного </w:t>
            </w:r>
            <w:r>
              <w:rPr>
                <w:spacing w:val="-2"/>
              </w:rPr>
              <w:t>администратора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бюджета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подгруппы,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статьи и вида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источника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бюджета</w:t>
            </w:r>
          </w:p>
        </w:tc>
        <w:tc>
          <w:tcPr>
            <w:tcW w:w="288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center"/>
              <w:rPr/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val="1166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Источники финансирования дефицита бюджета - ВСЕГО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1868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right"/>
              <w:rPr/>
            </w:pPr>
            <w:r>
              <w:rPr/>
              <w:t>1437</w:t>
            </w:r>
          </w:p>
        </w:tc>
      </w:tr>
      <w:tr>
        <w:trPr>
          <w:trHeight w:val="98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1868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right"/>
              <w:rPr/>
            </w:pPr>
            <w:r>
              <w:rPr/>
              <w:t>1437</w:t>
            </w:r>
          </w:p>
        </w:tc>
      </w:tr>
      <w:tr>
        <w:trPr>
          <w:trHeight w:val="62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01050000000000500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923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01050200000000500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97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01050201000000510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1131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01050201100000510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609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01050000000000600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58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01050200000000600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87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01050201000000610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1142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01050201100000610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Приложение № 7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5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 xml:space="preserve">; </w:t>
      </w:r>
      <w:r>
        <w:rPr>
          <w:rStyle w:val="Style12"/>
          <w:rFonts w:eastAsia="Arial" w:cs="Arial"/>
          <w:spacing w:val="-2"/>
          <w:lang w:eastAsia="zh-CN"/>
        </w:rPr>
        <w:t xml:space="preserve">от 28.04.2023 №18/91; </w:t>
      </w:r>
      <w:r>
        <w:rPr>
          <w:rStyle w:val="Style12"/>
          <w:rFonts w:eastAsia="Arial" w:cs="Arial"/>
          <w:spacing w:val="-2"/>
          <w:lang w:eastAsia="zh-CN"/>
        </w:rPr>
        <w:t>от 27.07.2023 №25/98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>по разделам,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подразделам, целевым статьям (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непрограммным направлениям деятельности), группам (группам и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подгруппам) видов расходов и (или) по целевым статьям ( непрограммным направлениям деятельности), группам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>(группам и подгруппам) видов расходов классификации расходов бюджетов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на 2023 год</w:t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>
          <w:b/>
          <w:b/>
          <w:caps/>
          <w:color w:val="000000"/>
          <w:sz w:val="32"/>
        </w:rPr>
      </w:pPr>
      <w:r>
        <w:rPr>
          <w:b/>
          <w:caps/>
          <w:color w:val="000000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>
          <w:b/>
          <w:b/>
          <w:caps/>
          <w:color w:val="000000"/>
          <w:sz w:val="32"/>
        </w:rPr>
      </w:pPr>
      <w:r>
        <w:rPr>
          <w:b/>
          <w:caps/>
          <w:color w:val="000000"/>
          <w:sz w:val="32"/>
        </w:rPr>
      </w:r>
    </w:p>
    <w:tbl>
      <w:tblPr>
        <w:tblW w:w="10183" w:type="dxa"/>
        <w:jc w:val="left"/>
        <w:tblInd w:w="-31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91"/>
        <w:gridCol w:w="1301"/>
        <w:gridCol w:w="1479"/>
        <w:gridCol w:w="1565"/>
        <w:gridCol w:w="1284"/>
        <w:gridCol w:w="1263"/>
      </w:tblGrid>
      <w:tr>
        <w:trPr>
          <w:trHeight w:val="110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154" w:right="154" w:hanging="0"/>
              <w:rPr>
                <w:color w:val="000000"/>
              </w:rPr>
            </w:pPr>
            <w:r>
              <w:rPr>
                <w:color w:val="000000"/>
              </w:rPr>
              <w:t>Код раздела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38" w:right="38"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0" w:right="0"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 xml:space="preserve">целевой </w:t>
            </w:r>
            <w:r>
              <w:rPr>
                <w:color w:val="000000"/>
              </w:rPr>
              <w:t>статьи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77" w:right="7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(рублей)</w:t>
            </w:r>
          </w:p>
        </w:tc>
      </w:tr>
      <w:tr>
        <w:trPr>
          <w:trHeight w:val="31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14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10 367 592</w:t>
            </w:r>
          </w:p>
        </w:tc>
      </w:tr>
      <w:tr>
        <w:trPr>
          <w:trHeight w:val="56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6 226 793</w:t>
            </w:r>
          </w:p>
        </w:tc>
      </w:tr>
      <w:tr>
        <w:trPr>
          <w:trHeight w:val="23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1 986 322</w:t>
            </w:r>
          </w:p>
        </w:tc>
      </w:tr>
      <w:tr>
        <w:trPr>
          <w:trHeight w:val="99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1 986 322</w:t>
            </w:r>
          </w:p>
        </w:tc>
      </w:tr>
      <w:tr>
        <w:trPr>
          <w:trHeight w:val="98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1 984 422</w:t>
            </w:r>
          </w:p>
        </w:tc>
      </w:tr>
      <w:tr>
        <w:trPr>
          <w:trHeight w:val="228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1 984 422</w:t>
            </w:r>
          </w:p>
        </w:tc>
      </w:tr>
      <w:tr>
        <w:trPr>
          <w:trHeight w:val="101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1 984 422</w:t>
            </w:r>
          </w:p>
        </w:tc>
      </w:tr>
      <w:tr>
        <w:trPr>
          <w:trHeight w:val="204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83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96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3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1900</w:t>
            </w:r>
          </w:p>
        </w:tc>
      </w:tr>
      <w:tr>
        <w:trPr>
          <w:trHeight w:val="119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left="0" w:right="-2" w:hanging="0"/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1900</w:t>
            </w:r>
          </w:p>
        </w:tc>
      </w:tr>
      <w:tr>
        <w:trPr>
          <w:trHeight w:val="14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1900</w:t>
            </w:r>
          </w:p>
        </w:tc>
      </w:tr>
      <w:tr>
        <w:trPr>
          <w:trHeight w:val="502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680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1814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577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558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870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90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4 220 471</w:t>
            </w:r>
          </w:p>
        </w:tc>
      </w:tr>
      <w:tr>
        <w:trPr>
          <w:trHeight w:val="1020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1827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средств резервного фонда Администрации муниципального образования Ченцовского сельского поселения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711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711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153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4 190 471</w:t>
            </w:r>
          </w:p>
        </w:tc>
      </w:tr>
      <w:tr>
        <w:trPr>
          <w:trHeight w:val="113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4 190 471</w:t>
            </w:r>
          </w:p>
        </w:tc>
      </w:tr>
      <w:tr>
        <w:trPr>
          <w:trHeight w:val="226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876 269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876 269</w:t>
            </w:r>
          </w:p>
        </w:tc>
      </w:tr>
      <w:tr>
        <w:trPr>
          <w:trHeight w:val="192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26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91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21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3 260 502</w:t>
            </w:r>
          </w:p>
        </w:tc>
      </w:tr>
      <w:tr>
        <w:trPr>
          <w:trHeight w:val="155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3 260 502</w:t>
            </w:r>
          </w:p>
        </w:tc>
      </w:tr>
      <w:tr>
        <w:trPr>
          <w:trHeight w:val="69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53 700</w:t>
            </w:r>
          </w:p>
        </w:tc>
      </w:tr>
      <w:tr>
        <w:trPr>
          <w:trHeight w:val="70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850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53 700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121 000</w:t>
            </w:r>
          </w:p>
        </w:tc>
      </w:tr>
      <w:tr>
        <w:trPr>
          <w:trHeight w:val="56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121 000</w:t>
            </w:r>
          </w:p>
        </w:tc>
      </w:tr>
      <w:tr>
        <w:trPr>
          <w:trHeight w:val="183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121 000</w:t>
            </w:r>
          </w:p>
        </w:tc>
      </w:tr>
      <w:tr>
        <w:trPr>
          <w:trHeight w:val="298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103675,40</w:t>
            </w:r>
          </w:p>
        </w:tc>
      </w:tr>
      <w:tr>
        <w:trPr>
          <w:trHeight w:val="83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103675,40</w:t>
            </w:r>
          </w:p>
        </w:tc>
      </w:tr>
      <w:tr>
        <w:trPr>
          <w:trHeight w:val="12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17324,60</w:t>
            </w:r>
          </w:p>
        </w:tc>
      </w:tr>
      <w:tr>
        <w:trPr>
          <w:trHeight w:val="155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17324,60</w:t>
            </w:r>
          </w:p>
        </w:tc>
      </w:tr>
      <w:tr>
        <w:trPr>
          <w:trHeight w:val="126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74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65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Гражданская оборона и чрезвычайные ситуации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172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14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155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681 190</w:t>
            </w:r>
          </w:p>
        </w:tc>
      </w:tr>
      <w:tr>
        <w:trPr>
          <w:trHeight w:val="68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440 190</w:t>
            </w:r>
          </w:p>
        </w:tc>
      </w:tr>
      <w:tr>
        <w:trPr>
          <w:trHeight w:val="69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440 190</w:t>
            </w:r>
          </w:p>
        </w:tc>
      </w:tr>
      <w:tr>
        <w:trPr>
          <w:trHeight w:val="100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280 190</w:t>
            </w:r>
          </w:p>
        </w:tc>
      </w:tr>
      <w:tr>
        <w:trPr>
          <w:trHeight w:val="129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280 190</w:t>
            </w:r>
          </w:p>
        </w:tc>
      </w:tr>
      <w:tr>
        <w:trPr>
          <w:trHeight w:val="15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280 190</w:t>
            </w:r>
          </w:p>
        </w:tc>
      </w:tr>
      <w:tr>
        <w:trPr>
          <w:trHeight w:val="10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160 000</w:t>
            </w:r>
          </w:p>
        </w:tc>
      </w:tr>
      <w:tr>
        <w:trPr>
          <w:trHeight w:val="127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160 000</w:t>
            </w:r>
          </w:p>
        </w:tc>
      </w:tr>
      <w:tr>
        <w:trPr>
          <w:trHeight w:val="168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160 000</w:t>
            </w:r>
          </w:p>
        </w:tc>
      </w:tr>
      <w:tr>
        <w:trPr>
          <w:trHeight w:val="284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bCs/>
              </w:rPr>
              <w:t>31500</w:t>
            </w:r>
            <w:r>
              <w:rPr>
                <w:rFonts w:eastAsia="Calibri"/>
                <w:bCs/>
                <w:lang w:val="en-US"/>
              </w:rPr>
              <w:t>S1190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28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55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8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27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61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Calibri" w:cs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  <w:r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955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 xml:space="preserve">Реализация муниципальных </w:t>
            </w:r>
            <w:r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функций в области национальной экономики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3400000000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1196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Расходы на передачу части полномочий в сфере градостроительной деятельности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1237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200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1540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240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2 349 382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7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196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85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154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1 759</w:t>
            </w:r>
            <w:r>
              <w:rPr>
                <w:lang w:val="en-US"/>
              </w:rPr>
              <w:t xml:space="preserve"> 480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>
                <w:lang w:val="en-US"/>
              </w:rPr>
              <w:t>1 759 480</w:t>
            </w:r>
          </w:p>
        </w:tc>
      </w:tr>
      <w:tr>
        <w:trPr>
          <w:trHeight w:val="70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</w:tr>
      <w:tr>
        <w:trPr>
          <w:trHeight w:val="115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</w:tr>
      <w:tr>
        <w:trPr>
          <w:trHeight w:val="14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</w:tr>
      <w:tr>
        <w:trPr>
          <w:trHeight w:val="70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1 294 930</w:t>
            </w:r>
          </w:p>
        </w:tc>
      </w:tr>
      <w:tr>
        <w:trPr>
          <w:trHeight w:val="127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1 294 930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1 294 930</w:t>
            </w:r>
          </w:p>
        </w:tc>
      </w:tr>
      <w:tr>
        <w:trPr>
          <w:trHeight w:val="255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Софинансирование расходных обязательств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2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42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256 250</w:t>
            </w:r>
          </w:p>
        </w:tc>
      </w:tr>
      <w:tr>
        <w:trPr>
          <w:trHeight w:val="127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60000S2250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256 250</w:t>
            </w:r>
          </w:p>
        </w:tc>
      </w:tr>
      <w:tr>
        <w:trPr>
          <w:trHeight w:val="140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256 250</w:t>
            </w:r>
          </w:p>
        </w:tc>
      </w:tr>
      <w:tr>
        <w:trPr>
          <w:trHeight w:val="85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558 902</w:t>
            </w:r>
          </w:p>
        </w:tc>
      </w:tr>
      <w:tr>
        <w:trPr>
          <w:trHeight w:val="71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558 902</w:t>
            </w:r>
          </w:p>
        </w:tc>
      </w:tr>
      <w:tr>
        <w:trPr>
          <w:trHeight w:val="70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558 902</w:t>
            </w:r>
          </w:p>
        </w:tc>
      </w:tr>
      <w:tr>
        <w:trPr>
          <w:trHeight w:val="113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558 902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558 902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171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69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71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8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155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105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146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18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70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70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</w:tbl>
    <w:p>
      <w:pPr>
        <w:pStyle w:val="Normal"/>
        <w:shd w:val="clear" w:color="auto" w:fill="FFFFFF"/>
        <w:ind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№8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>по разделам,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подразделам, целевым статьям (непрограммным направлениям деятельности), группам (группам и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подгруппам) видов расходов и (или) по целевым статьям ( непрограммным направлениям деятельности), группам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 xml:space="preserve">(группам и подгруппам) видов расходов классификации расходов бюджетов </w:t>
      </w:r>
      <w:r>
        <w:rPr>
          <w:b/>
          <w:caps/>
          <w:color w:val="000000"/>
          <w:sz w:val="32"/>
        </w:rPr>
        <w:t>на плановый период на 2024 и 2025 годы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0579" w:type="dxa"/>
        <w:jc w:val="left"/>
        <w:tblInd w:w="-71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333"/>
        <w:gridCol w:w="736"/>
        <w:gridCol w:w="1401"/>
        <w:gridCol w:w="1512"/>
        <w:gridCol w:w="1127"/>
        <w:gridCol w:w="1232"/>
        <w:gridCol w:w="1237"/>
      </w:tblGrid>
      <w:tr>
        <w:trPr>
          <w:trHeight w:val="581" w:hRule="exact"/>
        </w:trPr>
        <w:tc>
          <w:tcPr>
            <w:tcW w:w="3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Код раз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дела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целевой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статьи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(рублей)</w:t>
            </w:r>
          </w:p>
        </w:tc>
      </w:tr>
      <w:tr>
        <w:trPr>
          <w:trHeight w:val="630" w:hRule="exact"/>
        </w:trPr>
        <w:tc>
          <w:tcPr>
            <w:tcW w:w="333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val="31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7</w:t>
            </w:r>
          </w:p>
        </w:tc>
      </w:tr>
      <w:tr>
        <w:trPr>
          <w:trHeight w:val="144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6 718 616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6 764 315</w:t>
            </w:r>
          </w:p>
        </w:tc>
      </w:tr>
      <w:tr>
        <w:trPr>
          <w:trHeight w:val="6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3 739 793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3 749 793</w:t>
            </w:r>
          </w:p>
        </w:tc>
      </w:tr>
      <w:tr>
        <w:trPr>
          <w:trHeight w:val="23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102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113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</w:tr>
      <w:tr>
        <w:trPr>
          <w:trHeight w:val="28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</w:tr>
      <w:tr>
        <w:trPr>
          <w:trHeight w:val="112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</w:tr>
      <w:tr>
        <w:trPr>
          <w:trHeight w:val="254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97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112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04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2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13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/>
              </w:rPr>
              <w:t>Резервные фонды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50000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50000</w:t>
            </w:r>
          </w:p>
        </w:tc>
      </w:tr>
      <w:tr>
        <w:trPr>
          <w:trHeight w:val="113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241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833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548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8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156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12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29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99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243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282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84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12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773 502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783 502</w:t>
            </w:r>
          </w:p>
        </w:tc>
      </w:tr>
      <w:tr>
        <w:trPr>
          <w:trHeight w:val="156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773 502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783 502</w:t>
            </w:r>
          </w:p>
        </w:tc>
      </w:tr>
      <w:tr>
        <w:trPr>
          <w:trHeight w:val="84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85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6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17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22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</w:tr>
      <w:tr>
        <w:trPr>
          <w:trHeight w:val="90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</w:tr>
      <w:tr>
        <w:trPr>
          <w:trHeight w:val="122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22824,60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27324,60</w:t>
            </w:r>
          </w:p>
        </w:tc>
      </w:tr>
      <w:tr>
        <w:trPr>
          <w:trHeight w:val="141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22824,60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27324,60</w:t>
            </w:r>
          </w:p>
        </w:tc>
      </w:tr>
      <w:tr>
        <w:trPr>
          <w:trHeight w:val="85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567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72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Гражданская оборона и черезвычайные ситуации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0950000000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70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18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50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85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85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69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11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41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01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127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15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282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</w:t>
            </w:r>
            <w:r>
              <w:rPr>
                <w:rFonts w:eastAsia="Calibri"/>
                <w:bCs/>
                <w:lang w:val="en-US"/>
              </w:rPr>
              <w:t>S1190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126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15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70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1 509 996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1 521 365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5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70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12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41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912400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932400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912400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932400</w:t>
            </w:r>
          </w:p>
        </w:tc>
      </w:tr>
      <w:tr>
        <w:trPr>
          <w:trHeight w:val="59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127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141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69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40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525 000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41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60000S2250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1460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99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56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3610000000</w:t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62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127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142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18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70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69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66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131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86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1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81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56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56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9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6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 xml:space="preserve">; </w:t>
      </w:r>
      <w:r>
        <w:rPr>
          <w:rStyle w:val="Style12"/>
          <w:rFonts w:eastAsia="Arial" w:cs="Arial"/>
          <w:spacing w:val="-2"/>
          <w:lang w:eastAsia="zh-CN"/>
        </w:rPr>
        <w:t xml:space="preserve">от 28.04.2023 №18/91; </w:t>
      </w:r>
      <w:r>
        <w:rPr>
          <w:rStyle w:val="Style12"/>
          <w:rFonts w:eastAsia="Arial" w:cs="Arial"/>
          <w:spacing w:val="-2"/>
          <w:lang w:eastAsia="zh-CN"/>
        </w:rPr>
        <w:t>от 27.07.2023 №25/98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Ведомственная структура расходов бюджета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 xml:space="preserve">на </w:t>
      </w:r>
      <w:r>
        <w:rPr>
          <w:b/>
          <w:caps/>
          <w:color w:val="000000"/>
          <w:sz w:val="32"/>
        </w:rPr>
        <w:t xml:space="preserve">2023 </w:t>
      </w:r>
      <w:r>
        <w:rPr>
          <w:b/>
          <w:caps/>
          <w:color w:val="000000"/>
          <w:spacing w:val="-1"/>
          <w:sz w:val="32"/>
        </w:rPr>
        <w:t>год</w:t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tbl>
      <w:tblPr>
        <w:tblW w:w="10632" w:type="dxa"/>
        <w:jc w:val="left"/>
        <w:tblInd w:w="-52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675"/>
        <w:gridCol w:w="1436"/>
        <w:gridCol w:w="569"/>
        <w:gridCol w:w="849"/>
        <w:gridCol w:w="1562"/>
        <w:gridCol w:w="967"/>
        <w:gridCol w:w="1302"/>
        <w:gridCol w:w="1272"/>
      </w:tblGrid>
      <w:tr>
        <w:trPr>
          <w:trHeight w:val="680" w:hRule="atLeast"/>
        </w:trPr>
        <w:tc>
          <w:tcPr>
            <w:tcW w:w="2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38" w:right="38" w:hanging="0"/>
              <w:rPr>
                <w:color w:val="000000"/>
              </w:rPr>
            </w:pPr>
            <w:r>
              <w:rPr>
                <w:color w:val="000000"/>
              </w:rPr>
              <w:t>Код раздела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38" w:right="38"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0" w:right="0"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 xml:space="preserve">целевой </w:t>
            </w:r>
            <w:r>
              <w:rPr>
                <w:color w:val="000000"/>
              </w:rPr>
              <w:t>статьи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38" w:right="3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(рублей)</w:t>
            </w:r>
          </w:p>
        </w:tc>
      </w:tr>
      <w:tr>
        <w:trPr>
          <w:trHeight w:val="4139" w:hRule="exact"/>
        </w:trPr>
        <w:tc>
          <w:tcPr>
            <w:tcW w:w="267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pacing w:lineRule="exact" w:line="274"/>
              <w:ind w:left="0" w:right="38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56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spacing w:lineRule="exact" w:line="274"/>
              <w:ind w:left="154" w:right="154" w:hanging="0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spacing w:lineRule="exact" w:line="274"/>
              <w:ind w:left="38" w:right="38" w:hanging="0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spacing w:lineRule="exact" w:line="274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spacing w:lineRule="exact" w:line="274"/>
              <w:ind w:left="77" w:right="77" w:hanging="0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В том числе средства вышестоящих бюджетов</w:t>
            </w:r>
          </w:p>
        </w:tc>
      </w:tr>
      <w:tr>
        <w:trPr>
          <w:trHeight w:val="3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val="198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10367592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369100</w:t>
            </w:r>
          </w:p>
        </w:tc>
      </w:tr>
      <w:tr>
        <w:trPr>
          <w:trHeight w:val="56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6226793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324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29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41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54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4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97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3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44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63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left="0" w:right="-2" w:hanging="0"/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69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679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72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870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6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4220471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42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2103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средств резервного фонда Администрации муниципального образования Ченцовского сельского поселения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4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4190471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843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4190471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39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876269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12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99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38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00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70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3260502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5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3260502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850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3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113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243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353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103675,40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103675,40</w:t>
            </w:r>
          </w:p>
        </w:tc>
      </w:tr>
      <w:tr>
        <w:trPr>
          <w:trHeight w:val="114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103675,40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103675,40</w:t>
            </w:r>
          </w:p>
        </w:tc>
      </w:tr>
      <w:tr>
        <w:trPr>
          <w:trHeight w:val="169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17324,60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17324,60</w:t>
            </w:r>
          </w:p>
        </w:tc>
      </w:tr>
      <w:tr>
        <w:trPr>
          <w:trHeight w:val="156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17324,60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17324,60</w:t>
            </w:r>
          </w:p>
        </w:tc>
      </w:tr>
      <w:tr>
        <w:trPr>
          <w:trHeight w:val="126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62000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99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93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Гражданская оборона и чрезвычайные ситуации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221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8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4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681190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68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410190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</w:tr>
      <w:tr>
        <w:trPr>
          <w:trHeight w:val="58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/>
              <w:t>410190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11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280190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5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280190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5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280190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26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69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211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356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4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7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312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39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Calibri" w:cs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  <w:r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 xml:space="preserve">Реализация муниципальных </w:t>
            </w:r>
            <w:r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функций в области национальной экономики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3400000000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Расходы на передачу части полномочий в сфере градостроительной деятельности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200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240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2349382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  <w:t>246200</w:t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89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271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83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70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1759480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246200</w:t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1759480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  <w:t>246200</w:t>
            </w:r>
          </w:p>
        </w:tc>
      </w:tr>
      <w:tr>
        <w:trPr>
          <w:trHeight w:val="127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6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83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98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1294930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41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1294930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43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rPr/>
            </w:pPr>
            <w:r>
              <w:rPr/>
              <w:t>1294930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300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Софинансирование расходных обязательств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6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70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98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256250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246200</w:t>
            </w:r>
          </w:p>
        </w:tc>
      </w:tr>
      <w:tr>
        <w:trPr>
          <w:trHeight w:val="156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60000S2250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256250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246450</w:t>
            </w:r>
          </w:p>
        </w:tc>
      </w:tr>
      <w:tr>
        <w:trPr>
          <w:trHeight w:val="155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256250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246450</w:t>
            </w:r>
          </w:p>
        </w:tc>
      </w:tr>
      <w:tr>
        <w:trPr>
          <w:trHeight w:val="127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12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8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5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269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7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00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99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4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74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214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70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5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p>
      <w:pPr>
        <w:pStyle w:val="Normal"/>
        <w:shd w:val="clear" w:color="auto" w:fill="FFFFFF"/>
        <w:ind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№10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Ведомственная структура расходов бюджета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z w:val="32"/>
        </w:rPr>
        <w:t>на плановый период на 2024 и 2025 годы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0935" w:type="dxa"/>
        <w:jc w:val="left"/>
        <w:tblInd w:w="-812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4"/>
        <w:gridCol w:w="566"/>
        <w:gridCol w:w="568"/>
        <w:gridCol w:w="566"/>
        <w:gridCol w:w="1419"/>
        <w:gridCol w:w="517"/>
        <w:gridCol w:w="1139"/>
        <w:gridCol w:w="1179"/>
        <w:gridCol w:w="1145"/>
        <w:gridCol w:w="1141"/>
      </w:tblGrid>
      <w:tr>
        <w:trPr>
          <w:trHeight w:val="581" w:hRule="exact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Наименование главного распорядителя средств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982" w:leader="underscore"/>
              </w:tabs>
              <w:ind w:hanging="0"/>
              <w:rPr/>
            </w:pPr>
            <w:r>
              <w:rPr>
                <w:color w:val="000000"/>
                <w:spacing w:val="-2"/>
              </w:rPr>
              <w:t>бюджета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разделов,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подразделов,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целевых статей и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видов расходов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Код главного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распо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ди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те ля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средс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тв бюджета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 xml:space="preserve">Коды классификации расходов </w:t>
            </w:r>
            <w:r>
              <w:rPr>
                <w:color w:val="000000"/>
              </w:rPr>
              <w:t>бюджета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(рублей)</w:t>
            </w:r>
          </w:p>
        </w:tc>
      </w:tr>
      <w:tr>
        <w:trPr>
          <w:trHeight w:val="276" w:hRule="atLeast"/>
        </w:trPr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70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 том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числе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средства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выше-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стоящих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бюдже-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тов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952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2025 год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 том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числе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средства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выше-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стоящих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бюдже-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тов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8" w:hRule="exact"/>
        </w:trPr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 раз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дела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целевой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статьи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198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6718616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225600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6764315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230100</w:t>
            </w:r>
          </w:p>
        </w:tc>
      </w:tr>
      <w:tr>
        <w:trPr>
          <w:trHeight w:val="81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3739793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3749793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328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7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55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68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102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51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102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244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5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субвенции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78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firstLine="709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546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740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5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57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6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79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0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773502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783502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773502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783502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113000</w:t>
            </w:r>
          </w:p>
        </w:tc>
      </w:tr>
      <w:tr>
        <w:trPr>
          <w:trHeight w:val="120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131000</w:t>
            </w:r>
          </w:p>
        </w:tc>
      </w:tr>
      <w:tr>
        <w:trPr>
          <w:trHeight w:val="2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131000</w:t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</w:tr>
      <w:tr>
        <w:trPr>
          <w:trHeight w:val="124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4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Реализация муниципальных функций, связанных с муниципальным управлением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04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4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30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5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  <w:sz w:val="22"/>
                <w:szCs w:val="22"/>
              </w:rPr>
              <w:t>31500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31500</w:t>
            </w:r>
            <w:r>
              <w:rPr>
                <w:rFonts w:eastAsia="Calibri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31500</w:t>
            </w:r>
            <w:r>
              <w:rPr>
                <w:rFonts w:eastAsia="Calibri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1509996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1521365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0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96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912400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932400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41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912400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932400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1076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30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64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95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  <w:lang w:val="en-US"/>
              </w:rPr>
              <w:t>60000S2250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41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19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6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6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47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1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98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12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66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color w:val="000000"/>
              </w:rPr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96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12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11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9106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i/>
          <w:iCs/>
          <w:caps/>
          <w:color w:val="000000"/>
          <w:spacing w:val="-1"/>
          <w:sz w:val="32"/>
        </w:rPr>
        <w:t xml:space="preserve">, </w:t>
      </w:r>
      <w:r>
        <w:rPr>
          <w:b/>
          <w:caps/>
          <w:color w:val="000000"/>
          <w:spacing w:val="-1"/>
          <w:sz w:val="32"/>
        </w:rPr>
        <w:t xml:space="preserve">направляемых на </w:t>
      </w:r>
      <w:r>
        <w:rPr>
          <w:b/>
          <w:caps/>
          <w:color w:val="000000"/>
          <w:spacing w:val="-2"/>
          <w:sz w:val="32"/>
        </w:rPr>
        <w:t>исполнение публичных нормативных обязательств на</w:t>
      </w:r>
      <w:r>
        <w:rPr>
          <w:b/>
          <w:bCs/>
          <w:caps/>
          <w:color w:val="000000"/>
          <w:sz w:val="32"/>
        </w:rPr>
        <w:t xml:space="preserve"> 2023 </w:t>
      </w:r>
      <w:r>
        <w:rPr>
          <w:b/>
          <w:caps/>
          <w:color w:val="000000"/>
          <w:spacing w:val="-3"/>
          <w:sz w:val="32"/>
        </w:rPr>
        <w:t>год</w:t>
      </w:r>
      <w:r>
        <w:rPr>
          <w:b/>
          <w:caps/>
          <w:color w:val="000000"/>
          <w:spacing w:val="-2"/>
          <w:sz w:val="32"/>
        </w:rPr>
        <w:t>( рублей)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1356" w:type="dxa"/>
        <w:jc w:val="left"/>
        <w:tblInd w:w="-124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2"/>
        <w:gridCol w:w="5058"/>
        <w:gridCol w:w="3606"/>
      </w:tblGrid>
      <w:tr>
        <w:trPr>
          <w:trHeight w:val="907" w:hRule="exact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11"/>
              </w:rPr>
              <w:t xml:space="preserve">Код классификации </w:t>
            </w:r>
            <w:r>
              <w:rPr>
                <w:color w:val="000000"/>
              </w:rPr>
              <w:t>расходов бюджетов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1"/>
              </w:rPr>
              <w:t xml:space="preserve">Наименование публичного нормативного </w:t>
            </w:r>
            <w:r>
              <w:rPr>
                <w:color w:val="000000"/>
              </w:rPr>
              <w:t>обязательства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384" w:hRule="exact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873" w:hRule="exact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940 1001 5020080010 310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12000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12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06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i/>
          <w:iCs/>
          <w:caps/>
          <w:color w:val="000000"/>
          <w:spacing w:val="-1"/>
          <w:sz w:val="32"/>
        </w:rPr>
        <w:t xml:space="preserve">, </w:t>
      </w:r>
      <w:r>
        <w:rPr>
          <w:b/>
          <w:caps/>
          <w:color w:val="000000"/>
          <w:spacing w:val="-1"/>
          <w:sz w:val="32"/>
        </w:rPr>
        <w:t xml:space="preserve">направляемых на </w:t>
      </w:r>
      <w:r>
        <w:rPr>
          <w:b/>
          <w:caps/>
          <w:color w:val="000000"/>
          <w:spacing w:val="-2"/>
          <w:sz w:val="32"/>
        </w:rPr>
        <w:t>исполнение публичных нормативных обязательств на</w:t>
      </w:r>
      <w:r>
        <w:rPr>
          <w:b/>
          <w:bCs/>
          <w:caps/>
          <w:color w:val="000000"/>
          <w:sz w:val="32"/>
        </w:rPr>
        <w:t xml:space="preserve"> </w:t>
      </w:r>
      <w:r>
        <w:rPr>
          <w:b/>
          <w:caps/>
          <w:color w:val="000000"/>
          <w:sz w:val="32"/>
        </w:rPr>
        <w:t>плановый период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z w:val="32"/>
        </w:rPr>
        <w:t>на</w:t>
      </w:r>
      <w:r>
        <w:rPr>
          <w:b/>
          <w:bCs/>
          <w:caps/>
          <w:color w:val="000000"/>
          <w:sz w:val="32"/>
        </w:rPr>
        <w:t xml:space="preserve"> 2024 </w:t>
      </w:r>
      <w:r>
        <w:rPr>
          <w:b/>
          <w:caps/>
          <w:color w:val="000000"/>
          <w:sz w:val="32"/>
        </w:rPr>
        <w:t>и</w:t>
      </w:r>
      <w:r>
        <w:rPr>
          <w:b/>
          <w:bCs/>
          <w:caps/>
          <w:color w:val="000000"/>
          <w:sz w:val="32"/>
        </w:rPr>
        <w:t xml:space="preserve"> 2025 </w:t>
      </w:r>
      <w:r>
        <w:rPr>
          <w:b/>
          <w:caps/>
          <w:color w:val="000000"/>
          <w:spacing w:val="-2"/>
          <w:sz w:val="32"/>
        </w:rPr>
        <w:t>годы( рублей)</w:t>
      </w:r>
    </w:p>
    <w:p>
      <w:pPr>
        <w:pStyle w:val="Normal"/>
        <w:ind w:firstLine="709"/>
        <w:rPr>
          <w:iCs/>
          <w:caps/>
          <w:color w:val="000000"/>
          <w:spacing w:val="-1"/>
        </w:rPr>
      </w:pPr>
      <w:r>
        <w:rPr>
          <w:iCs/>
          <w:caps/>
          <w:color w:val="000000"/>
          <w:spacing w:val="-1"/>
        </w:rPr>
      </w:r>
    </w:p>
    <w:tbl>
      <w:tblPr>
        <w:tblW w:w="9672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3"/>
        <w:gridCol w:w="3233"/>
        <w:gridCol w:w="1829"/>
        <w:gridCol w:w="1916"/>
      </w:tblGrid>
      <w:tr>
        <w:trPr>
          <w:trHeight w:val="964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>Код классификации расходов бюджетов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</w:rPr>
              <w:t xml:space="preserve">Наименование публичного </w:t>
            </w:r>
            <w:r>
              <w:rPr>
                <w:color w:val="000000"/>
                <w:spacing w:val="-2"/>
              </w:rPr>
              <w:t>нормативного обязательства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 xml:space="preserve">Сумма на 2024 </w:t>
            </w:r>
            <w:r>
              <w:rPr>
                <w:color w:val="000000"/>
              </w:rPr>
              <w:t>год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 xml:space="preserve">Сумма на 2025 </w:t>
            </w:r>
            <w:r>
              <w:rPr>
                <w:color w:val="000000"/>
              </w:rPr>
              <w:t>год</w:t>
            </w:r>
          </w:p>
        </w:tc>
      </w:tr>
      <w:tr>
        <w:trPr>
          <w:trHeight w:val="288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1046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940 1001 5020080010 310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/>
              <w:t>12000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/>
              <w:t>12000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even" r:id="rId17"/>
      <w:headerReference w:type="default" r:id="rId18"/>
      <w:headerReference w:type="first" r:id="rId19"/>
      <w:footerReference w:type="even" r:id="rId20"/>
      <w:footerReference w:type="default" r:id="rId21"/>
      <w:footerReference w:type="first" r:id="rId22"/>
      <w:type w:val="nextPage"/>
      <w:pgSz w:w="11906" w:h="16838"/>
      <w:pgMar w:left="1134" w:right="567" w:gutter="0" w:header="72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Cambria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swiss"/>
    <w:pitch w:val="variable"/>
  </w:font>
  <w:font w:name="YS Tex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0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675"/>
    <w:pPr>
      <w:widowControl/>
      <w:suppressAutoHyphens w:val="true"/>
      <w:bidi w:val="0"/>
      <w:spacing w:before="0" w:after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90675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9906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qFormat/>
    <w:rsid w:val="009906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qFormat/>
    <w:rsid w:val="00990675"/>
    <w:pPr>
      <w:outlineLvl w:val="3"/>
    </w:pPr>
    <w:rPr>
      <w:b/>
      <w:bCs/>
      <w:sz w:val="26"/>
      <w:szCs w:val="28"/>
    </w:rPr>
  </w:style>
  <w:style w:type="paragraph" w:styleId="7">
    <w:name w:val="Heading 7"/>
    <w:basedOn w:val="Normal"/>
    <w:next w:val="Normal"/>
    <w:qFormat/>
    <w:pPr>
      <w:tabs>
        <w:tab w:val="clear" w:pos="708"/>
        <w:tab w:val="left" w:pos="0" w:leader="none"/>
      </w:tabs>
      <w:spacing w:before="240" w:after="60"/>
      <w:ind w:left="2880" w:hanging="360"/>
      <w:outlineLvl w:val="6"/>
    </w:pPr>
    <w:rPr>
      <w:lang w:val="en-US"/>
    </w:rPr>
  </w:style>
  <w:style w:type="character" w:styleId="DefaultParagraphFont" w:default="1">
    <w:name w:val="Default Paragraph Font"/>
    <w:semiHidden/>
    <w:qFormat/>
    <w:rsid w:val="00990675"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4" w:customStyle="1">
    <w:name w:val="Основной шрифт абзаца14"/>
    <w:qFormat/>
    <w:rPr/>
  </w:style>
  <w:style w:type="character" w:styleId="13" w:customStyle="1">
    <w:name w:val="Основной шрифт абзаца13"/>
    <w:qFormat/>
    <w:rPr/>
  </w:style>
  <w:style w:type="character" w:styleId="12" w:customStyle="1">
    <w:name w:val="Основной шрифт абзаца12"/>
    <w:qFormat/>
    <w:rPr/>
  </w:style>
  <w:style w:type="character" w:styleId="11" w:customStyle="1">
    <w:name w:val="Основной шрифт абзаца11"/>
    <w:qFormat/>
    <w:rPr/>
  </w:style>
  <w:style w:type="character" w:styleId="10" w:customStyle="1">
    <w:name w:val="Основной шрифт абзаца10"/>
    <w:qFormat/>
    <w:rPr/>
  </w:style>
  <w:style w:type="character" w:styleId="9" w:customStyle="1">
    <w:name w:val="Основной шрифт абзаца9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8" w:customStyle="1">
    <w:name w:val="Основной шрифт абзаца8"/>
    <w:qFormat/>
    <w:rPr/>
  </w:style>
  <w:style w:type="character" w:styleId="Style9" w:customStyle="1">
    <w:name w:val="Основной текст Знак"/>
    <w:qFormat/>
    <w:rPr>
      <w:rFonts w:ascii="Times New Roman" w:hAnsi="Times New Roman" w:eastAsia="Times New Roman" w:cs="Calibri"/>
      <w:sz w:val="24"/>
      <w:szCs w:val="24"/>
      <w:lang w:val="en-US" w:eastAsia="zh-CN"/>
    </w:rPr>
  </w:style>
  <w:style w:type="character" w:styleId="Style10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15" w:customStyle="1">
    <w:name w:val="Заголовок 1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qFormat/>
    <w:rPr>
      <w:rFonts w:ascii="Arial" w:hAnsi="Arial" w:eastAsia="Times New Roman" w:cs="Arial"/>
      <w:b/>
      <w:bCs/>
      <w:iCs/>
      <w:sz w:val="30"/>
      <w:szCs w:val="28"/>
    </w:rPr>
  </w:style>
  <w:style w:type="character" w:styleId="31" w:customStyle="1">
    <w:name w:val="Заголовок 3 Знак"/>
    <w:qFormat/>
    <w:rPr>
      <w:rFonts w:ascii="Arial" w:hAnsi="Arial" w:eastAsia="Times New Roman" w:cs="Arial"/>
      <w:b/>
      <w:bCs/>
      <w:sz w:val="28"/>
      <w:szCs w:val="26"/>
    </w:rPr>
  </w:style>
  <w:style w:type="character" w:styleId="41" w:customStyle="1">
    <w:name w:val="Заголовок 4 Знак"/>
    <w:qFormat/>
    <w:rPr>
      <w:rFonts w:ascii="Arial" w:hAnsi="Arial" w:eastAsia="Times New Roman" w:cs="Arial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990675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1" w:customStyle="1">
    <w:name w:val="Текст примечания Знак"/>
    <w:qFormat/>
    <w:rPr>
      <w:rFonts w:ascii="Courier" w:hAnsi="Courier" w:eastAsia="Times New Roman" w:cs="Courier"/>
      <w:sz w:val="22"/>
    </w:rPr>
  </w:style>
  <w:style w:type="character" w:styleId="Style12">
    <w:name w:val="Интернет-ссылка"/>
    <w:basedOn w:val="DefaultParagraphFont"/>
    <w:rsid w:val="00990675"/>
    <w:rPr>
      <w:color w:val="0000FF"/>
      <w:u w:val="none"/>
    </w:rPr>
  </w:style>
  <w:style w:type="character" w:styleId="71" w:customStyle="1">
    <w:name w:val="Заголовок 7 Знак"/>
    <w:qFormat/>
    <w:rPr>
      <w:rFonts w:ascii="Arial" w:hAnsi="Arial" w:eastAsia="Times New Roman" w:cs="Arial"/>
      <w:sz w:val="24"/>
      <w:szCs w:val="24"/>
      <w:lang w:val="en-US"/>
    </w:rPr>
  </w:style>
  <w:style w:type="character" w:styleId="72" w:customStyle="1">
    <w:name w:val="Основной шрифт абзаца7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42" w:customStyle="1">
    <w:name w:val="Основной шрифт абзаца4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32" w:customStyle="1">
    <w:name w:val="Основной шрифт абзаца3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22" w:customStyle="1">
    <w:name w:val="Основной шрифт абзаца2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16" w:customStyle="1">
    <w:name w:val="Основной шрифт абзаца1"/>
    <w:qFormat/>
    <w:rPr/>
  </w:style>
  <w:style w:type="character" w:styleId="Hl41" w:customStyle="1">
    <w:name w:val="hl41"/>
    <w:qFormat/>
    <w:rPr>
      <w:b/>
      <w:bCs/>
      <w:sz w:val="20"/>
      <w:szCs w:val="20"/>
    </w:rPr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5" w:customStyle="1">
    <w:name w:val="Основной текст с отступом Знак"/>
    <w:qFormat/>
    <w:rPr>
      <w:rFonts w:ascii="Times New Roman" w:hAnsi="Times New Roman" w:eastAsia="Times New Roman" w:cs="Times New Roman"/>
      <w:sz w:val="28"/>
    </w:rPr>
  </w:style>
  <w:style w:type="character" w:styleId="61" w:customStyle="1">
    <w:name w:val="Знак Знак6"/>
    <w:qFormat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styleId="Style16" w:customStyle="1">
    <w:name w:val="Знак Знак"/>
    <w:qFormat/>
    <w:rPr>
      <w:sz w:val="28"/>
      <w:lang w:val="ru-RU" w:bidi="ar-SA"/>
    </w:rPr>
  </w:style>
  <w:style w:type="character" w:styleId="17" w:customStyle="1">
    <w:name w:val="Нижний колонтитул Знак1"/>
    <w:qFormat/>
    <w:rPr>
      <w:rFonts w:ascii="Arial" w:hAnsi="Arial" w:eastAsia="Times New Roman" w:cs="Arial"/>
      <w:sz w:val="24"/>
      <w:szCs w:val="24"/>
      <w:lang w:val="en-US"/>
    </w:rPr>
  </w:style>
  <w:style w:type="character" w:styleId="18" w:customStyle="1">
    <w:name w:val="Основной текст с отступом Знак1"/>
    <w:qFormat/>
    <w:rPr>
      <w:rFonts w:ascii="Arial" w:hAnsi="Arial" w:eastAsia="Times New Roman" w:cs="Arial"/>
      <w:sz w:val="28"/>
    </w:rPr>
  </w:style>
  <w:style w:type="character" w:styleId="Style17" w:customStyle="1">
    <w:name w:val="Верхний колонтитул Знак"/>
    <w:qFormat/>
    <w:rPr>
      <w:rFonts w:ascii="Arial" w:hAnsi="Arial" w:eastAsia="Times New Roman" w:cs="Arial"/>
      <w:sz w:val="24"/>
      <w:szCs w:val="24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19" w:customStyle="1">
    <w:name w:val="Текст примечания Знак1"/>
    <w:qFormat/>
    <w:rPr>
      <w:rFonts w:ascii="Courier" w:hAnsi="Courier" w:cs="Courier"/>
      <w:sz w:val="22"/>
    </w:rPr>
  </w:style>
  <w:style w:type="character" w:styleId="23" w:customStyle="1">
    <w:name w:val="Текст примечания Знак2"/>
    <w:basedOn w:val="DefaultParagraphFont"/>
    <w:link w:val="afd"/>
    <w:semiHidden/>
    <w:qFormat/>
    <w:rsid w:val="00c20664"/>
    <w:rPr>
      <w:rFonts w:ascii="Courier" w:hAnsi="Courier"/>
      <w:sz w:val="22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>
      <w:rFonts w:ascii="Times New Roman" w:hAnsi="Times New Roman"/>
      <w:lang w:val="en-US" w:eastAsia="zh-CN"/>
    </w:rPr>
  </w:style>
  <w:style w:type="paragraph" w:styleId="Style21">
    <w:name w:val="List"/>
    <w:basedOn w:val="Normal"/>
    <w:pPr>
      <w:ind w:left="283" w:hanging="283"/>
    </w:pPr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1" w:customStyle="1">
    <w:name w:val="Указатель14"/>
    <w:basedOn w:val="Normal"/>
    <w:qFormat/>
    <w:pPr>
      <w:suppressLineNumbers/>
    </w:pPr>
    <w:rPr/>
  </w:style>
  <w:style w:type="paragraph" w:styleId="91" w:customStyle="1">
    <w:name w:val="Название объекта9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1" w:customStyle="1">
    <w:name w:val="Указатель12"/>
    <w:basedOn w:val="Normal"/>
    <w:qFormat/>
    <w:pPr>
      <w:suppressLineNumbers/>
    </w:pPr>
    <w:rPr>
      <w:rFonts w:cs="Mangal"/>
    </w:rPr>
  </w:style>
  <w:style w:type="paragraph" w:styleId="73" w:customStyle="1">
    <w:name w:val="Название объекта7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11" w:customStyle="1">
    <w:name w:val="Указатель11"/>
    <w:basedOn w:val="Normal"/>
    <w:qFormat/>
    <w:pPr>
      <w:suppressLineNumbers/>
    </w:pPr>
    <w:rPr>
      <w:rFonts w:cs="Mangal"/>
    </w:rPr>
  </w:style>
  <w:style w:type="paragraph" w:styleId="62" w:customStyle="1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01" w:customStyle="1">
    <w:name w:val="Указатель10"/>
    <w:basedOn w:val="Normal"/>
    <w:qFormat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92" w:customStyle="1">
    <w:name w:val="Указатель9"/>
    <w:basedOn w:val="Normal"/>
    <w:qFormat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pPr>
      <w:suppressLineNumbers/>
    </w:pPr>
    <w:rPr>
      <w:rFonts w:cs="Mangal"/>
    </w:rPr>
  </w:style>
  <w:style w:type="paragraph" w:styleId="110" w:customStyle="1">
    <w:name w:val="Обычный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pPr>
      <w:suppressLineNumbers/>
    </w:pPr>
    <w:rPr>
      <w:rFonts w:ascii="Liberation Serif" w:hAnsi="Liberation Serif" w:eastAsia="SimSun" w:cs="Lucida Sans"/>
      <w:kern w:val="2"/>
      <w:lang w:eastAsia="zh-CN" w:bidi="hi-IN"/>
    </w:rPr>
  </w:style>
  <w:style w:type="paragraph" w:styleId="112" w:customStyle="1">
    <w:name w:val="Текст примечания1"/>
    <w:basedOn w:val="Normal"/>
    <w:qFormat/>
    <w:pPr/>
    <w:rPr>
      <w:rFonts w:ascii="Courier" w:hAnsi="Courier" w:cs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990675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990675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99067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990675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NumberAndDate" w:customStyle="1">
    <w:name w:val="NumberAndDate"/>
    <w:qFormat/>
    <w:rsid w:val="00990675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990675"/>
    <w:pPr/>
    <w:rPr>
      <w:sz w:val="28"/>
    </w:rPr>
  </w:style>
  <w:style w:type="paragraph" w:styleId="33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74" w:customStyle="1">
    <w:name w:val="Указатель7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63" w:customStyle="1">
    <w:name w:val="Указатель6"/>
    <w:basedOn w:val="Normal"/>
    <w:qFormat/>
    <w:pPr>
      <w:suppressLineNumbers/>
    </w:pPr>
    <w:rPr>
      <w:rFonts w:cs="Mangal"/>
    </w:rPr>
  </w:style>
  <w:style w:type="paragraph" w:styleId="1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pPr>
      <w:suppressLineNumbers/>
    </w:pPr>
    <w:rPr>
      <w:rFonts w:cs="Mangal"/>
    </w:rPr>
  </w:style>
  <w:style w:type="paragraph" w:styleId="44" w:customStyle="1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styleId="45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4" w:customStyle="1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5" w:customStyle="1">
    <w:name w:val="Указатель3"/>
    <w:basedOn w:val="Normal"/>
    <w:qFormat/>
    <w:pPr>
      <w:suppressLineNumbers/>
    </w:pPr>
    <w:rPr>
      <w:rFonts w:cs="Tahoma"/>
    </w:rPr>
  </w:style>
  <w:style w:type="paragraph" w:styleId="25" w:customStyle="1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6" w:customStyle="1">
    <w:name w:val="Указатель2"/>
    <w:basedOn w:val="Normal"/>
    <w:qFormat/>
    <w:pPr>
      <w:suppressLineNumbers/>
    </w:pPr>
    <w:rPr>
      <w:rFonts w:cs="Tahoma"/>
    </w:rPr>
  </w:style>
  <w:style w:type="paragraph" w:styleId="114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5" w:customStyle="1">
    <w:name w:val="Указатель1"/>
    <w:basedOn w:val="Normal"/>
    <w:qFormat/>
    <w:pPr>
      <w:suppressLineNumbers/>
    </w:pPr>
    <w:rPr>
      <w:rFonts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5" w:customStyle="1">
    <w:name w:val="Верхний и нижний колонтитулы"/>
    <w:basedOn w:val="Normal"/>
    <w:qFormat/>
    <w:pPr>
      <w:suppressLineNumbers/>
    </w:pPr>
    <w:rPr/>
  </w:style>
  <w:style w:type="paragraph" w:styleId="Style26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/>
    <w:rPr>
      <w:lang w:val="en-US"/>
    </w:rPr>
  </w:style>
  <w:style w:type="paragraph" w:styleId="211" w:customStyle="1">
    <w:name w:val="Основной текст 21"/>
    <w:basedOn w:val="Normal"/>
    <w:qFormat/>
    <w:pPr>
      <w:spacing w:lineRule="auto" w:line="480" w:before="0" w:after="120"/>
    </w:pPr>
    <w:rPr>
      <w:lang w:val="en-US"/>
    </w:rPr>
  </w:style>
  <w:style w:type="paragraph" w:styleId="Style28" w:customStyle="1">
    <w:name w:val="Спис_заголовок"/>
    <w:basedOn w:val="Normal"/>
    <w:next w:val="Style21"/>
    <w:qFormat/>
    <w:pPr>
      <w:keepNext w:val="true"/>
      <w:keepLines/>
      <w:spacing w:before="60" w:after="60"/>
    </w:pPr>
    <w:rPr>
      <w:szCs w:val="20"/>
    </w:rPr>
  </w:style>
  <w:style w:type="paragraph" w:styleId="Web" w:customStyle="1">
    <w:name w:val="Обычный (Web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Style29" w:customStyle="1">
    <w:name w:val="Заголовок таблицы"/>
    <w:basedOn w:val="Style24"/>
    <w:qFormat/>
    <w:pPr>
      <w:jc w:val="center"/>
    </w:pPr>
    <w:rPr>
      <w:rFonts w:ascii="Arial" w:hAnsi="Arial" w:eastAsia="Times New Roman" w:cs="Times New Roman"/>
      <w:b/>
      <w:bCs/>
      <w:kern w:val="0"/>
      <w:lang w:bidi="ar-SA"/>
    </w:rPr>
  </w:style>
  <w:style w:type="paragraph" w:styleId="ConsCell" w:customStyle="1">
    <w:name w:val="ConsCell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212" w:customStyle="1">
    <w:name w:val="Основной текст с отступом 21"/>
    <w:basedOn w:val="Normal"/>
    <w:qFormat/>
    <w:pPr>
      <w:ind w:left="720" w:firstLine="720"/>
      <w:jc w:val="center"/>
    </w:pPr>
    <w:rPr>
      <w:sz w:val="28"/>
      <w:szCs w:val="20"/>
    </w:rPr>
  </w:style>
  <w:style w:type="paragraph" w:styleId="Style30">
    <w:name w:val="Body Text Indent"/>
    <w:basedOn w:val="Normal"/>
    <w:pPr>
      <w:spacing w:before="0" w:after="120"/>
      <w:ind w:left="283" w:firstLine="567"/>
    </w:pPr>
    <w:rPr>
      <w:sz w:val="28"/>
      <w:szCs w:val="20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31">
    <w:name w:val="Header"/>
    <w:basedOn w:val="Normal"/>
    <w:pPr/>
    <w:rPr/>
  </w:style>
  <w:style w:type="paragraph" w:styleId="Style32" w:customStyle="1">
    <w:name w:val="Содержимое врезки"/>
    <w:basedOn w:val="Normal"/>
    <w:qFormat/>
    <w:pPr/>
    <w:rPr/>
  </w:style>
  <w:style w:type="paragraph" w:styleId="27" w:customStyle="1">
    <w:name w:val="Текст примечания2"/>
    <w:basedOn w:val="Normal"/>
    <w:qFormat/>
    <w:pPr/>
    <w:rPr>
      <w:rFonts w:ascii="Courier" w:hAnsi="Courier" w:cs="Courier"/>
      <w:sz w:val="22"/>
      <w:szCs w:val="20"/>
    </w:rPr>
  </w:style>
  <w:style w:type="paragraph" w:styleId="Annotationtext">
    <w:name w:val="annotation text"/>
    <w:basedOn w:val="Normal"/>
    <w:link w:val="26"/>
    <w:semiHidden/>
    <w:qFormat/>
    <w:rsid w:val="00990675"/>
    <w:pPr/>
    <w:rPr>
      <w:rFonts w:ascii="Courier" w:hAnsi="Courier"/>
      <w:sz w:val="22"/>
      <w:szCs w:val="20"/>
    </w:rPr>
  </w:style>
  <w:style w:type="numbering" w:styleId="NoList" w:default="1">
    <w:name w:val="No List"/>
    <w:semiHidden/>
    <w:qFormat/>
    <w:rsid w:val="00990675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0.0.1.77:8080/content/act/69a65d40-244d-4975-ae2c-fe9bb2bc29a5.doc" TargetMode="External"/><Relationship Id="rId3" Type="http://schemas.openxmlformats.org/officeDocument/2006/relationships/hyperlink" Target="http://nla-service.miniust.ru:8080/rnla-links/ws/content/act8f21b21c-a408-42c4-b9fe-a939b863c84a" TargetMode="External"/><Relationship Id="rId4" Type="http://schemas.openxmlformats.org/officeDocument/2006/relationships/hyperlink" Target="http://nla-service.miniust.ru:8080/rnla-links/ws/content/actf7de1846-3c6a-47ab-b440-b8e4cea90c68" TargetMode="External"/><Relationship Id="rId5" Type="http://schemas.openxmlformats.org/officeDocument/2006/relationships/hyperlink" Target="http://nla-service.miniust.ru:8080/rnla-links/ws/content/act0a54a6ad-9587-4020-9d6c-9565baef57e2" TargetMode="External"/><Relationship Id="rId6" Type="http://schemas.openxmlformats.org/officeDocument/2006/relationships/hyperlink" Target="http://10.0.1.77:8080/content/act/69a65d40-244d-4975-ae2c-fe9bb2bc29a5.doc" TargetMode="External"/><Relationship Id="rId7" Type="http://schemas.openxmlformats.org/officeDocument/2006/relationships/hyperlink" Target="http://nla-service.miniust.ru:8080/rnla-links/ws/content/act8f21b21c-a408-42c4-b9fe-a939b863c84a" TargetMode="External"/><Relationship Id="rId8" Type="http://schemas.openxmlformats.org/officeDocument/2006/relationships/hyperlink" Target="http://10.0.1.77:8080/content/act/69a65d40-244d-4975-ae2c-fe9bb2bc29a5.doc" TargetMode="External"/><Relationship Id="rId9" Type="http://schemas.openxmlformats.org/officeDocument/2006/relationships/hyperlink" Target="http://nla-service.miniust.ru:8080/rnla-links/ws/content/act0a54a6ad-9587-4020-9d6c-9565baef57e2" TargetMode="External"/><Relationship Id="rId10" Type="http://schemas.openxmlformats.org/officeDocument/2006/relationships/hyperlink" Target="http://10.0.1.77:8080/content/act/69a65d40-244d-4975-ae2c-fe9bb2bc29a5.doc" TargetMode="External"/><Relationship Id="rId11" Type="http://schemas.openxmlformats.org/officeDocument/2006/relationships/hyperlink" Target="http://nla-service.minjust.ru:8080/rnla-links/ws/content/act/b5c1d49e-faad-4027-8721-c4ed5ca2f0a3.html" TargetMode="External"/><Relationship Id="rId12" Type="http://schemas.openxmlformats.org/officeDocument/2006/relationships/hyperlink" Target="http://nla-service.minjust.ru:8080/rnla-links/ws/content/act/b5c1d49e-faad-4027-8721-c4ed5ca2f0a3.html" TargetMode="External"/><Relationship Id="rId13" Type="http://schemas.openxmlformats.org/officeDocument/2006/relationships/hyperlink" Target="http://nla-service.minjust.ru:8080/rnla-links/ws/content/act/b5c1d49e-faad-4027-8721-c4ed5ca2f0a3.html" TargetMode="External"/><Relationship Id="rId14" Type="http://schemas.openxmlformats.org/officeDocument/2006/relationships/hyperlink" Target="http://10.0.1.77:8080/content/act/69a65d40-244d-4975-ae2c-fe9bb2bc29a5.doc" TargetMode="External"/><Relationship Id="rId15" Type="http://schemas.openxmlformats.org/officeDocument/2006/relationships/hyperlink" Target="http://10.0.1.77:8080/content/act/69a65d40-244d-4975-ae2c-fe9bb2bc29a5.doc" TargetMode="External"/><Relationship Id="rId16" Type="http://schemas.openxmlformats.org/officeDocument/2006/relationships/hyperlink" Target="http://10.0.1.77:8080/content/act/69a65d40-244d-4975-ae2c-fe9bb2bc29a5.doc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231</TotalTime>
  <Application>LibreOffice/7.2.4.1$Windows_X86_64 LibreOffice_project/27d75539669ac387bb498e35313b970b7fe9c4f9</Application>
  <AppVersion>15.0000</AppVersion>
  <Pages>68</Pages>
  <Words>11985</Words>
  <Characters>75830</Characters>
  <CharactersWithSpaces>84430</CharactersWithSpaces>
  <Paragraphs>3560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2023-04-21T12:21:00Z</dcterms:created>
  <dc:creator>Костерина Оксана Евгеньевна</dc:creator>
  <dc:description/>
  <dc:language>ru-RU</dc:language>
  <cp:lastModifiedBy/>
  <cp:lastPrinted>1900-12-31T21:00:00Z</cp:lastPrinted>
  <dcterms:modified xsi:type="dcterms:W3CDTF">2023-08-02T14:55:01Z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