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91" w:rsidRPr="0058636E" w:rsidRDefault="004A1C91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4A1C91" w:rsidRPr="0058636E" w:rsidRDefault="0026577A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САГУНОВСКОГО</w:t>
      </w:r>
      <w:r w:rsidR="004A1C91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A1C91" w:rsidRPr="0058636E" w:rsidRDefault="004A1C91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ПОДГОРЕНСКОГО МУНИЦИПАЛЬНОГО РАЙОНА</w:t>
      </w:r>
    </w:p>
    <w:p w:rsidR="004A1C91" w:rsidRPr="0058636E" w:rsidRDefault="004A1C91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A1C91" w:rsidRPr="0058636E" w:rsidRDefault="004A1C91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91" w:rsidRPr="0058636E" w:rsidRDefault="004A1C91" w:rsidP="007B4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1C91" w:rsidRPr="0058636E" w:rsidRDefault="004A1C91" w:rsidP="007B4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91" w:rsidRPr="0058636E" w:rsidRDefault="004A1C91" w:rsidP="007B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8636E" w:rsidRPr="00586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 ноября </w:t>
      </w:r>
      <w:r w:rsidRPr="00586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 года № </w:t>
      </w:r>
      <w:r w:rsidR="0058636E" w:rsidRPr="00586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4A1C91" w:rsidRPr="000B1565" w:rsidRDefault="000B1565" w:rsidP="007B4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 xml:space="preserve">                     </w:t>
      </w:r>
      <w:r w:rsidR="004A1C91" w:rsidRPr="000B1565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с</w:t>
      </w:r>
      <w:r w:rsidR="0026577A" w:rsidRPr="000B1565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л</w:t>
      </w:r>
      <w:r w:rsidR="004A1C91" w:rsidRPr="000B1565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 xml:space="preserve">. </w:t>
      </w:r>
      <w:proofErr w:type="spellStart"/>
      <w:r w:rsidR="004A1C91" w:rsidRPr="000B1565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С</w:t>
      </w:r>
      <w:r w:rsidR="0026577A" w:rsidRPr="000B1565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агуны</w:t>
      </w:r>
      <w:proofErr w:type="spellEnd"/>
    </w:p>
    <w:p w:rsidR="004A1C91" w:rsidRPr="007B4A2A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C91" w:rsidRPr="0058636E" w:rsidRDefault="004A1C91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утверждении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Положения</w:t>
      </w:r>
    </w:p>
    <w:p w:rsidR="004A1C91" w:rsidRPr="0058636E" w:rsidRDefault="004A1C91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 порядке и условиях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предоставления</w:t>
      </w:r>
    </w:p>
    <w:p w:rsidR="004A1C91" w:rsidRPr="0058636E" w:rsidRDefault="004A1C91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иных межбюджетных трансфертов</w:t>
      </w:r>
    </w:p>
    <w:p w:rsidR="004A1C91" w:rsidRPr="0058636E" w:rsidRDefault="004A1C91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из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бюджета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</w:p>
    <w:p w:rsidR="000B1565" w:rsidRPr="0058636E" w:rsidRDefault="004A1C91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бюджету Подгоренского муниципального района</w:t>
      </w:r>
    </w:p>
    <w:p w:rsidR="004A1C91" w:rsidRPr="0058636E" w:rsidRDefault="000B1565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оронежской области</w:t>
      </w:r>
    </w:p>
    <w:p w:rsidR="004A1C91" w:rsidRPr="007B4A2A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4A1C91" w:rsidRDefault="004A1C91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tooltip="&quot;Бюджетный кодекс Российской Федерации&quot; от 31.07.1998 N 145-ФЗ (ред. от 22.10.2014){КонсультантПлюс}" w:history="1">
        <w:r w:rsidRPr="007B4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9</w:t>
        </w:r>
      </w:hyperlink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142.5 Бюджетного кодекса Российской Федерации, частью 4 статьи 65 Федерального закона от 6 октября 2003 г. № 131-ФЗ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Федерации», Уставом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процессе</w:t>
      </w:r>
      <w:r w:rsidR="003A0783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принятое решением Совета народных депутатов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  <w:r w:rsidR="003A0783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A0783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0783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.2018г. №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A0783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</w:rPr>
        <w:t xml:space="preserve">Совет народных депутатов </w:t>
      </w:r>
      <w:r w:rsidR="0026577A">
        <w:rPr>
          <w:rFonts w:ascii="Times New Roman" w:eastAsia="Times New Roman" w:hAnsi="Times New Roman" w:cs="Times New Roman"/>
          <w:sz w:val="26"/>
          <w:szCs w:val="26"/>
        </w:rPr>
        <w:t>Сагуновского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8636E">
        <w:rPr>
          <w:rFonts w:ascii="Times New Roman" w:eastAsia="Times New Roman" w:hAnsi="Times New Roman" w:cs="Times New Roman"/>
          <w:sz w:val="26"/>
          <w:szCs w:val="26"/>
        </w:rPr>
        <w:t>Подгоренского</w:t>
      </w:r>
      <w:proofErr w:type="gramEnd"/>
      <w:r w:rsidR="0058636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58636E" w:rsidRPr="007B4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8636E" w:rsidRPr="007B4A2A" w:rsidRDefault="0058636E" w:rsidP="00586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54E9" w:rsidRPr="0026577A" w:rsidRDefault="004A1C91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прилагаемое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условиях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1B0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редоставления иных межбюджетных трансфертов из бюджета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бюджету 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района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4E9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4E9" w:rsidRPr="007B4A2A" w:rsidRDefault="007B4A2A" w:rsidP="0058636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C91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Опубликовать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настоящее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решение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Вестнике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муниципальных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правовых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актов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26577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Сагуновского</w:t>
      </w:r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сельского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поселения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Подгоренского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муниципального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района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Воронежской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="004B54E9" w:rsidRPr="007B4A2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. </w:t>
      </w:r>
    </w:p>
    <w:p w:rsidR="004A1C91" w:rsidRPr="007B4A2A" w:rsidRDefault="004A1C91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9D8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главу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  <w:r w:rsidR="00014231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Казакову Ю.В.</w:t>
      </w:r>
    </w:p>
    <w:p w:rsidR="004A1C91" w:rsidRDefault="004A1C91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момента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981A14" w:rsidRPr="007B4A2A" w:rsidRDefault="00981A14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C91" w:rsidRPr="007B4A2A" w:rsidRDefault="004A1C91" w:rsidP="0058636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231" w:rsidRPr="007B4A2A" w:rsidRDefault="0001423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C91" w:rsidRPr="007B4A2A" w:rsidRDefault="004E707B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Сагуновского</w:t>
      </w:r>
    </w:p>
    <w:p w:rsidR="004E707B" w:rsidRPr="007B4A2A" w:rsidRDefault="008311B0" w:rsidP="007B4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707B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</w:t>
      </w:r>
      <w:r w:rsid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A2A" w:rsidRPr="007B4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26577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 Казакова</w:t>
      </w:r>
    </w:p>
    <w:tbl>
      <w:tblPr>
        <w:tblStyle w:val="a3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4A1C91" w:rsidRPr="007B4A2A" w:rsidTr="00306F62">
        <w:trPr>
          <w:jc w:val="right"/>
        </w:trPr>
        <w:tc>
          <w:tcPr>
            <w:tcW w:w="5917" w:type="dxa"/>
          </w:tcPr>
          <w:p w:rsidR="007B4A2A" w:rsidRPr="0058636E" w:rsidRDefault="0058636E" w:rsidP="0058636E">
            <w:pPr>
              <w:widowControl w:val="0"/>
              <w:tabs>
                <w:tab w:val="left" w:pos="428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ab/>
            </w:r>
          </w:p>
          <w:p w:rsidR="0058636E" w:rsidRPr="0058636E" w:rsidRDefault="0058636E" w:rsidP="0058636E">
            <w:pPr>
              <w:widowControl w:val="0"/>
              <w:tabs>
                <w:tab w:val="left" w:pos="428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26577A" w:rsidRPr="0058636E" w:rsidRDefault="0026577A" w:rsidP="007B4A2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_GoBack"/>
            <w:bookmarkEnd w:id="0"/>
          </w:p>
          <w:p w:rsidR="007B4A2A" w:rsidRPr="0058636E" w:rsidRDefault="007B4A2A" w:rsidP="007B4A2A">
            <w:pPr>
              <w:widowControl w:val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58636E" w:rsidRDefault="0058636E" w:rsidP="0058636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       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</w:t>
            </w:r>
            <w:r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r w:rsidR="007B4A2A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решению</w:t>
            </w:r>
            <w:r w:rsidR="007B4A2A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Совета </w:t>
            </w:r>
            <w:proofErr w:type="gramStart"/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народных</w:t>
            </w:r>
            <w:proofErr w:type="gramEnd"/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</w:t>
            </w:r>
          </w:p>
          <w:p w:rsidR="0058636E" w:rsidRDefault="0058636E" w:rsidP="0058636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д</w:t>
            </w:r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26577A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Сагуновского</w:t>
            </w:r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сельского</w:t>
            </w:r>
            <w:proofErr w:type="gramEnd"/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4A1C91" w:rsidRPr="0058636E" w:rsidRDefault="0058636E" w:rsidP="0058636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</w:t>
            </w:r>
            <w:r w:rsidR="004E707B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16 ноября 2020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</w:t>
            </w:r>
            <w:r w:rsidR="007B4A2A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A1C91" w:rsidRPr="005863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</w:tr>
    </w:tbl>
    <w:p w:rsidR="004A1C91" w:rsidRPr="007B4A2A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91" w:rsidRPr="0058636E" w:rsidRDefault="004A1C91" w:rsidP="007B4A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условиях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7B4A2A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4E707B" w:rsidRPr="0058636E" w:rsidRDefault="0026577A" w:rsidP="007B4A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Сагуновского</w:t>
      </w:r>
      <w:r w:rsidR="004E707B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A1C91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бюджету</w:t>
      </w:r>
      <w:r w:rsidR="004A1C91" w:rsidRPr="005863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Подгоренского муниципального района Воронежской области</w:t>
      </w:r>
    </w:p>
    <w:p w:rsidR="004A1C91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B" w:rsidRPr="0058636E" w:rsidRDefault="004A1C91" w:rsidP="0058636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принятым в соответствии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7" w:tooltip="&quot;Бюджетный кодекс Российской Федерации&quot; от 31.07.1998 N 145-ФЗ (ред. от 22.10.2014){КонсультантПлюс}" w:history="1">
        <w:r w:rsidRPr="00586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</w:t>
        </w:r>
      </w:hyperlink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142.5 Бюджетного кодекса Российской Федерации, частью 4 статьи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65 Федерального закона от 6 октября 2003 г.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Сагуновского</w:t>
      </w:r>
      <w:r w:rsidR="00B563E5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Сагуновского</w:t>
      </w:r>
      <w:r w:rsidR="00B563E5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порядок и условия предоставления иных межбюджетных трансфертов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B4A2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Сагуновского</w:t>
      </w:r>
      <w:r w:rsidR="00B563E5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2C53B7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4E707B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 муниципального района</w:t>
      </w:r>
      <w:r w:rsidR="00B563E5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58636E"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91" w:rsidRPr="0058636E" w:rsidRDefault="004A1C91" w:rsidP="007B4A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иных межбюджетных трансфертов</w:t>
      </w:r>
    </w:p>
    <w:p w:rsidR="004A1C91" w:rsidRPr="007B4A2A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C91" w:rsidRPr="0058636E" w:rsidRDefault="004A1C91" w:rsidP="007B4A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2.1.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предоставления иных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межбюджетных трансфертов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бюджету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Воронежской области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финансовое обеспечение переданных органами местного самоуправления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органам местного самоуправления 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hAnsi="Times New Roman" w:cs="Times New Roman"/>
          <w:iCs/>
          <w:sz w:val="28"/>
          <w:szCs w:val="26"/>
        </w:rPr>
        <w:t xml:space="preserve">полномочий по решению вопросов местного значения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2C53B7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hAnsi="Times New Roman" w:cs="Times New Roman"/>
          <w:iCs/>
          <w:sz w:val="28"/>
          <w:szCs w:val="26"/>
        </w:rPr>
        <w:t>установленных в соответствии с Федеральным законом от 6 октября 2003 г. № 131-ФЗ «Об общих принципах местного самоуправления</w:t>
      </w:r>
      <w:proofErr w:type="gramEnd"/>
      <w:r w:rsidRPr="0058636E">
        <w:rPr>
          <w:rFonts w:ascii="Times New Roman" w:hAnsi="Times New Roman" w:cs="Times New Roman"/>
          <w:iCs/>
          <w:sz w:val="28"/>
          <w:szCs w:val="26"/>
        </w:rPr>
        <w:t xml:space="preserve"> в Российской Федерации», законами </w:t>
      </w:r>
      <w:r w:rsidR="00A45809" w:rsidRPr="0058636E">
        <w:rPr>
          <w:rFonts w:ascii="Times New Roman" w:hAnsi="Times New Roman" w:cs="Times New Roman"/>
          <w:iCs/>
          <w:sz w:val="28"/>
          <w:szCs w:val="26"/>
        </w:rPr>
        <w:t xml:space="preserve">Воронежской области, </w:t>
      </w:r>
      <w:r w:rsidRPr="0058636E">
        <w:rPr>
          <w:rFonts w:ascii="Times New Roman" w:hAnsi="Times New Roman" w:cs="Times New Roman"/>
          <w:iCs/>
          <w:sz w:val="28"/>
          <w:szCs w:val="26"/>
        </w:rPr>
        <w:t>в соответствии с заключаемыми соглашениями о передаче отдельных полномочий.</w:t>
      </w:r>
    </w:p>
    <w:p w:rsidR="004A1C91" w:rsidRPr="0058636E" w:rsidRDefault="004A1C91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2.2. Предоставление иных межбюджетных трансфертов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бюджету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осуществляется за счет доходов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</w:p>
    <w:p w:rsidR="004A1C91" w:rsidRPr="0058636E" w:rsidRDefault="007B4A2A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2.3.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Иные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межбюджетные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трансферты из бюджета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бюджету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Подгоренского муниципального района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Воронежской области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отражаются в доходной части бюджета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Подгоренского муниципального района Воронежской области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классификации </w:t>
      </w:r>
      <w:r w:rsidR="004A1C9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доходов бюджетов.</w:t>
      </w:r>
    </w:p>
    <w:p w:rsidR="004A1C91" w:rsidRPr="0058636E" w:rsidRDefault="004A1C91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2.4. Расчёт объёма иных межбюджетных трансфертов из бюджета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бюджету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Воронежской области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производится в соответствии с методикой согласно приложению к настоящему Положению.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2.5.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Объем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межбюджетных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трансфертов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утверждается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решении о бюджете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очередной финансовый год (очередной финансовый год и плановый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период) или посредством внесения изменений в решение о бюджете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очередной финансовый год (очередной финансовый год и плановый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период)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или путем внесения изменений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сводную бюджетную роспись расходов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поселения.</w:t>
      </w:r>
      <w:proofErr w:type="gramEnd"/>
    </w:p>
    <w:p w:rsidR="004A1C91" w:rsidRPr="0058636E" w:rsidRDefault="004A1C91" w:rsidP="002657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2.6.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Иные межбюджетные трансферты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бюджету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предоставляются в пределах суммы, утвержденной решением о бюджете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очередной финансовый год (очередной финансовый год и плановый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период), и в соответствии с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решением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Совета народных депутатов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A45809" w:rsidRPr="0058636E" w:rsidRDefault="004A1C91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2.7.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Иные межбюджетные трансферты из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предоставляются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бюджету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Воронежской области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соглашений о передаче отдельных полномочий, заключенных между</w:t>
      </w:r>
      <w:r w:rsidR="003C002D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администрацией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3C002D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014231" w:rsidRPr="0058636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администрацией Подгоренского муниципального района Воронежской области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решением 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Совета народных депутатов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2.8. Соглашение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 передаче отдельных полномочий и предоставлении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межбюджетных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трансфертов бюджету</w:t>
      </w:r>
      <w:r w:rsidR="007B4A2A" w:rsidRPr="0058636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7B4A2A" w:rsidRPr="0058636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должно содержать следующие положения: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1) целевое назначение иных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2) условия предоставления и расходования иных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4) порядок перечисления иных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5) сроки действия соглашения;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6) порядок осуществления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контроля за</w:t>
      </w:r>
      <w:proofErr w:type="gramEnd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7) сроки и порядок представления отчетности об использовании иных межбюджетных трансфертов;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8)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hAnsi="Times New Roman" w:cs="Times New Roman"/>
          <w:sz w:val="28"/>
          <w:szCs w:val="26"/>
        </w:rPr>
        <w:t>финансовые санкции за неисполнение соглашений;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9) иные условия.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2.9. Иные межбюджетные трансферты из бюджета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бюджету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предоставляются после заключения соглашения с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администрацией 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а в</w:t>
      </w:r>
      <w:r w:rsidR="00014231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сроки, установленные соглашением.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2.10.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Иные межбюджетные трансферты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из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перечисляются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 </w:t>
      </w:r>
      <w:r w:rsidR="004E707B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путем зачисления денежных средств на лицевой счет, открытый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Управлении федерального казначейства для финансового отдела администрации Подгоренского муниципального района.</w:t>
      </w:r>
    </w:p>
    <w:p w:rsidR="004A1C91" w:rsidRPr="0058636E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2.11.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 порядке,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установленном 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администрацией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пунктом 5 статьи 242 Бюджетного кодекса Российской Федерации. </w:t>
      </w:r>
    </w:p>
    <w:p w:rsidR="004A1C91" w:rsidRPr="0058636E" w:rsidRDefault="004A1C91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2.12. Иные межбюджетные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трансферты подлежат возврату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бюджет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B0198F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случаях:</w:t>
      </w:r>
    </w:p>
    <w:p w:rsidR="004A1C91" w:rsidRPr="0058636E" w:rsidRDefault="004A1C91" w:rsidP="007B4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выявления их нецелевого использования;</w:t>
      </w:r>
    </w:p>
    <w:p w:rsidR="00B0198F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B0198F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непредставления отчетности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0198F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района;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представления недостоверных сведений в отчетности.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и отчетность за использованием иных межбюджетных трансфертов</w:t>
      </w:r>
    </w:p>
    <w:p w:rsidR="004A1C91" w:rsidRPr="0058636E" w:rsidRDefault="004A1C91" w:rsidP="002657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Органы местного самоуправления </w:t>
      </w:r>
      <w:r w:rsidR="00B0198F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B0198F" w:rsidRPr="0058636E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 достоверность представляемых отчетов об их использовании.</w:t>
      </w:r>
    </w:p>
    <w:p w:rsidR="004A1C91" w:rsidRPr="0058636E" w:rsidRDefault="004A1C91" w:rsidP="007B4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3.2. </w:t>
      </w:r>
      <w:proofErr w:type="gramStart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использованием иных межбюджетных трансфертов осуществляется администрацией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A45809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A1C91" w:rsidRPr="0058636E" w:rsidRDefault="004A1C91" w:rsidP="007B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Отчет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об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использовании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иных межбюджетных трансфертов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представляется администрацией Подгоренского муниципального района в администрацию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 в порядке и по форме, определенным в соглашении.</w:t>
      </w:r>
    </w:p>
    <w:p w:rsidR="003A0783" w:rsidRPr="0058636E" w:rsidRDefault="003A0783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3A0783" w:rsidRPr="0058636E" w:rsidRDefault="003A0783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3A0783" w:rsidRPr="0058636E" w:rsidRDefault="003A0783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3A0783" w:rsidRPr="0058636E" w:rsidRDefault="003A0783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B4A2A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B4A2A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B4A2A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B4A2A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7B4A2A" w:rsidRPr="0058636E" w:rsidRDefault="007B4A2A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58636E" w:rsidRDefault="0058636E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lastRenderedPageBreak/>
        <w:t xml:space="preserve">                                                                         </w:t>
      </w:r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Приложение к Положению о порядке </w:t>
      </w:r>
    </w:p>
    <w:p w:rsidR="0058636E" w:rsidRDefault="0058636E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                                                                 </w:t>
      </w:r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и </w:t>
      </w:r>
      <w:proofErr w:type="gramStart"/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условиях</w:t>
      </w:r>
      <w:proofErr w:type="gramEnd"/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предоставления иных </w:t>
      </w:r>
    </w:p>
    <w:p w:rsidR="004A1C91" w:rsidRPr="0058636E" w:rsidRDefault="0058636E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                                                          </w:t>
      </w:r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межбюджетных трансфертов</w:t>
      </w:r>
    </w:p>
    <w:p w:rsid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                                                                      </w:t>
      </w:r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из бюджета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</w:t>
      </w:r>
    </w:p>
    <w:p w:rsid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бюджету</w:t>
      </w:r>
      <w:r w:rsidR="00B563E5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Подгоренского </w:t>
      </w:r>
    </w:p>
    <w:p w:rsid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  <w:r w:rsidR="00B563E5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B563E5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Воронежской</w:t>
      </w:r>
      <w:proofErr w:type="gramEnd"/>
      <w:r w:rsidR="00B563E5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</w:t>
      </w:r>
      <w:r w:rsidR="00B563E5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7B4A2A" w:rsidRPr="0058636E"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  <w:t xml:space="preserve"> </w:t>
      </w:r>
      <w:proofErr w:type="gramStart"/>
      <w:r w:rsidR="004A1C91" w:rsidRPr="0058636E"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  <w:t>утвержденному</w:t>
      </w:r>
      <w:proofErr w:type="gramEnd"/>
      <w:r w:rsidR="007B4A2A" w:rsidRPr="0058636E"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  <w:t>решением</w:t>
      </w:r>
      <w:r w:rsidR="003A0783" w:rsidRPr="0058636E"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  <w:t xml:space="preserve"> </w:t>
      </w:r>
    </w:p>
    <w:p w:rsid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Совета</w:t>
      </w:r>
      <w:r w:rsidR="003A0783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B4A2A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депутатов</w:t>
      </w:r>
      <w:r w:rsidR="003A0783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A1C91" w:rsidRPr="0058636E" w:rsidRDefault="0058636E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</w:t>
      </w:r>
      <w:r w:rsidR="0026577A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</w:t>
      </w:r>
      <w:r w:rsidR="007B4A2A" w:rsidRPr="005863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A1C91" w:rsidRPr="0058636E" w:rsidRDefault="0058636E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                                                         </w:t>
      </w:r>
      <w:r w:rsidR="007B4A2A" w:rsidRPr="0058636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4A1C91" w:rsidRPr="0058636E">
        <w:rPr>
          <w:rFonts w:ascii="Times New Roman" w:hAnsi="Times New Roman" w:cs="Times New Roman"/>
          <w:bCs/>
          <w:sz w:val="24"/>
          <w:szCs w:val="26"/>
        </w:rPr>
        <w:t xml:space="preserve">от </w:t>
      </w:r>
      <w:r>
        <w:rPr>
          <w:rFonts w:ascii="Times New Roman" w:hAnsi="Times New Roman" w:cs="Times New Roman"/>
          <w:bCs/>
          <w:sz w:val="24"/>
          <w:szCs w:val="26"/>
        </w:rPr>
        <w:t xml:space="preserve">16 ноября 2020 </w:t>
      </w:r>
      <w:r w:rsidR="004A1C91" w:rsidRPr="0058636E">
        <w:rPr>
          <w:rFonts w:ascii="Times New Roman" w:hAnsi="Times New Roman" w:cs="Times New Roman"/>
          <w:bCs/>
          <w:sz w:val="24"/>
          <w:szCs w:val="26"/>
        </w:rPr>
        <w:t>года</w:t>
      </w:r>
      <w:r w:rsidR="007B4A2A" w:rsidRPr="0058636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4A1C91" w:rsidRPr="0058636E">
        <w:rPr>
          <w:rFonts w:ascii="Times New Roman" w:hAnsi="Times New Roman" w:cs="Times New Roman"/>
          <w:bCs/>
          <w:sz w:val="24"/>
          <w:szCs w:val="26"/>
        </w:rPr>
        <w:t xml:space="preserve">№ </w:t>
      </w:r>
      <w:r>
        <w:rPr>
          <w:rFonts w:ascii="Times New Roman" w:hAnsi="Times New Roman" w:cs="Times New Roman"/>
          <w:bCs/>
          <w:sz w:val="24"/>
          <w:szCs w:val="26"/>
        </w:rPr>
        <w:t>13</w:t>
      </w:r>
    </w:p>
    <w:p w:rsidR="004A1C91" w:rsidRPr="007B4A2A" w:rsidRDefault="004A1C91" w:rsidP="007B4A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58636E" w:rsidRDefault="0058636E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</w:p>
    <w:p w:rsidR="004A1C91" w:rsidRPr="0058636E" w:rsidRDefault="004A1C91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Методика</w:t>
      </w:r>
    </w:p>
    <w:p w:rsidR="004A1C91" w:rsidRPr="0058636E" w:rsidRDefault="004A1C91" w:rsidP="005863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расчета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объема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иных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межбюджетных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трансфертов, предоставляемых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из бюджета</w:t>
      </w:r>
      <w:r w:rsidR="007B4A2A"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сельского поселения</w:t>
      </w:r>
    </w:p>
    <w:p w:rsidR="0058636E" w:rsidRDefault="004A1C91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8636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бюджету</w:t>
      </w:r>
      <w:r w:rsidR="00B563E5" w:rsidRP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Подгоренского муниципального района </w:t>
      </w:r>
    </w:p>
    <w:p w:rsidR="004A1C91" w:rsidRPr="0058636E" w:rsidRDefault="00B563E5" w:rsidP="0058636E">
      <w:pPr>
        <w:widowControl w:val="0"/>
        <w:tabs>
          <w:tab w:val="left" w:leader="underscore" w:pos="10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Воронежской </w:t>
      </w:r>
      <w:r w:rsid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Pr="0058636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бласти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6"/>
          <w:shd w:val="clear" w:color="auto" w:fill="FFFFFF"/>
        </w:rPr>
      </w:pPr>
    </w:p>
    <w:p w:rsidR="004A1C91" w:rsidRPr="0058636E" w:rsidRDefault="004A1C91" w:rsidP="0058636E">
      <w:pPr>
        <w:widowControl w:val="0"/>
        <w:numPr>
          <w:ilvl w:val="0"/>
          <w:numId w:val="2"/>
        </w:numPr>
        <w:tabs>
          <w:tab w:val="left" w:pos="116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Объем </w:t>
      </w:r>
      <w:r w:rsidRPr="0058636E">
        <w:rPr>
          <w:rFonts w:ascii="Times New Roman" w:hAnsi="Times New Roman" w:cs="Times New Roman"/>
          <w:sz w:val="28"/>
          <w:szCs w:val="26"/>
          <w:shd w:val="clear" w:color="auto" w:fill="FFFFFF"/>
        </w:rPr>
        <w:t>иных</w:t>
      </w:r>
      <w:r w:rsidR="003A0783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межбюджетных трансфертов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предоставляемых из бюджета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бюджету 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7B4A2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определяется по следующей формуле: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S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= ∑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S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вмз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где: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S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- </w:t>
      </w:r>
      <w:proofErr w:type="gram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объем</w:t>
      </w:r>
      <w:proofErr w:type="gram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иных межбюджетных трансфертов, предоставляемых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бюджету 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;</w:t>
      </w:r>
    </w:p>
    <w:p w:rsidR="004A1C91" w:rsidRPr="0058636E" w:rsidRDefault="007B4A2A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i/>
          <w:iCs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S</w:t>
      </w:r>
      <w:proofErr w:type="spellStart"/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вмз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объем иных межбюджетных трансфертов, предоставляемых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бюджету 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Pr="0058636E">
        <w:rPr>
          <w:rFonts w:ascii="Times New Roman" w:hAnsi="Times New Roman" w:cs="Times New Roman"/>
          <w:i/>
          <w:iCs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 осуществление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полномочий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решению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вопросов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местного значения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="004A1C91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 их передаче на уровень 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A1C91" w:rsidRPr="0058636E" w:rsidRDefault="004A1C91" w:rsidP="005863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соответствии с заключенными соглашениями по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каждому виду вопросов местного значения.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2. </w:t>
      </w:r>
      <w:proofErr w:type="gram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Объем иных межбюджетных трансфертов (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S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вмз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), предоставляемых из бюджета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бюджету 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Подгоренского муниципального района Воронежской области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 осуществление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полномочий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по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решению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вопросов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местного значения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6577A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Сагуновского</w:t>
      </w:r>
      <w:r w:rsidR="008311B0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при их передаче на уровень </w:t>
      </w:r>
      <w:r w:rsidR="00B563E5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Подгоренского муниципального района Воронежской области </w:t>
      </w:r>
      <w:r w:rsidR="003A0783" w:rsidRPr="0058636E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соответствии с заключенными соглашениями по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каждому виду вопросов местного значения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определяется по формулам</w:t>
      </w:r>
      <w:r w:rsidRPr="0058636E">
        <w:rPr>
          <w:rFonts w:ascii="Times New Roman" w:hAnsi="Times New Roman" w:cs="Times New Roman"/>
          <w:iCs/>
          <w:color w:val="000000"/>
          <w:sz w:val="28"/>
          <w:szCs w:val="26"/>
          <w:shd w:val="clear" w:color="auto" w:fill="FFFFFF"/>
        </w:rPr>
        <w:t>:</w:t>
      </w:r>
      <w:proofErr w:type="gramEnd"/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smallCaps/>
          <w:color w:val="000000"/>
          <w:sz w:val="28"/>
          <w:szCs w:val="26"/>
          <w:shd w:val="clear" w:color="auto" w:fill="FFFFFF"/>
        </w:rPr>
        <w:lastRenderedPageBreak/>
        <w:t xml:space="preserve">2.1.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 передаче отдельных полномочий в области культуры: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smallCaps/>
          <w:color w:val="000000"/>
          <w:sz w:val="28"/>
          <w:szCs w:val="26"/>
          <w:shd w:val="clear" w:color="auto" w:fill="FFFFFF"/>
          <w:lang w:val="en-US"/>
        </w:rPr>
        <w:t>S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вмз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=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Рфот+Рсв+Рку+Ртр+Рси+Рпу+Рпр+Рос+Рмз</w:t>
      </w:r>
      <w:proofErr w:type="spellEnd"/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Рфот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оплату персонала учреждения культуры с начислениями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Рсв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связь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Рку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коммунальные услуги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Ртр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транспортные услуги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Рси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содержание имущества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Рпу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прочие услуги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Рпр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прочие расходы (налоги, пошлины, штрафы и др.)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Рос – расходы на приобретение основных средств (в год);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Рмз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расходы на приобретение материальных запасов (в год).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2.2. при передаче отдельных бюджетных полномочий: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smallCaps/>
          <w:color w:val="000000"/>
          <w:sz w:val="28"/>
          <w:szCs w:val="26"/>
          <w:shd w:val="clear" w:color="auto" w:fill="FFFFFF"/>
          <w:lang w:val="en-US"/>
        </w:rPr>
        <w:t>S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вмз</w:t>
      </w:r>
      <w:proofErr w:type="spellEnd"/>
      <w:r w:rsidRPr="0058636E">
        <w:rPr>
          <w:rFonts w:ascii="Times New Roman" w:hAnsi="Times New Roman" w:cs="Times New Roman"/>
          <w:smallCaps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=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C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*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Кнас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*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Ккор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где:</w:t>
      </w:r>
    </w:p>
    <w:p w:rsidR="004A1C91" w:rsidRPr="0058636E" w:rsidRDefault="004A1C91" w:rsidP="0058636E">
      <w:pPr>
        <w:widowControl w:val="0"/>
        <w:tabs>
          <w:tab w:val="left" w:leader="underscore" w:pos="1004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 - норматив расходов в год на </w:t>
      </w:r>
      <w:r w:rsidRPr="0058636E">
        <w:rPr>
          <w:rFonts w:ascii="Times New Roman" w:hAnsi="Times New Roman" w:cs="Times New Roman"/>
          <w:iCs/>
          <w:color w:val="000000"/>
          <w:sz w:val="28"/>
          <w:szCs w:val="26"/>
          <w:shd w:val="clear" w:color="auto" w:fill="FFFFFF"/>
        </w:rPr>
        <w:t>финансовое обеспечение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отдельных бюджетных полномочий;</w:t>
      </w:r>
      <w:r w:rsidRPr="0058636E">
        <w:rPr>
          <w:rFonts w:ascii="Times New Roman" w:hAnsi="Times New Roman" w:cs="Times New Roman"/>
          <w:iCs/>
          <w:color w:val="000000"/>
          <w:sz w:val="28"/>
          <w:szCs w:val="26"/>
          <w:shd w:val="clear" w:color="auto" w:fill="FFFFFF"/>
        </w:rPr>
        <w:t xml:space="preserve"> 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Кнас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- корректирующий коэффициент, учитывающий численность населения поселения (для поселений с численностью свыше 1000 человек устанавливается в размере 1,0, для поселений с численностью менее 1000 человек устанавливается в размере 0,9);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Ккор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-</w:t>
      </w:r>
      <w:r w:rsidR="007B4A2A"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корректирующий коэффициент, установленный в размере ежегодной индексации на прогнозный уровень инфляции в соответствии с Концепцией формирования межбюджетных отношений (на первый год корректирующий коэффициент принимается равным 1,0).</w:t>
      </w:r>
    </w:p>
    <w:p w:rsidR="004A1C91" w:rsidRPr="0058636E" w:rsidRDefault="004A1C91" w:rsidP="0058636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3. Ввиду </w:t>
      </w:r>
      <w:proofErr w:type="spellStart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дотационности</w:t>
      </w:r>
      <w:proofErr w:type="spellEnd"/>
      <w:r w:rsidRPr="0058636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бюджета сельского поселения в отдельных случаях объем трансфертов может быть равен 0. В таком случае муниципальное образование, принявшее на себя полномочие, осуществляет его за счет средств местного бюджета.</w:t>
      </w:r>
    </w:p>
    <w:p w:rsidR="000E071D" w:rsidRPr="0058636E" w:rsidRDefault="000E071D" w:rsidP="00586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sectPr w:rsidR="000E071D" w:rsidRPr="0058636E" w:rsidSect="007B4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1"/>
    <w:rsid w:val="00014231"/>
    <w:rsid w:val="000B1565"/>
    <w:rsid w:val="000E071D"/>
    <w:rsid w:val="0026577A"/>
    <w:rsid w:val="002C53B7"/>
    <w:rsid w:val="003A0783"/>
    <w:rsid w:val="003C002D"/>
    <w:rsid w:val="004A1C91"/>
    <w:rsid w:val="004B54E9"/>
    <w:rsid w:val="004E707B"/>
    <w:rsid w:val="0058636E"/>
    <w:rsid w:val="005949D8"/>
    <w:rsid w:val="007B4A2A"/>
    <w:rsid w:val="008311B0"/>
    <w:rsid w:val="00981A14"/>
    <w:rsid w:val="00A45809"/>
    <w:rsid w:val="00B0198F"/>
    <w:rsid w:val="00B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Пользователь</cp:lastModifiedBy>
  <cp:revision>13</cp:revision>
  <cp:lastPrinted>2020-11-03T11:17:00Z</cp:lastPrinted>
  <dcterms:created xsi:type="dcterms:W3CDTF">2020-10-30T06:25:00Z</dcterms:created>
  <dcterms:modified xsi:type="dcterms:W3CDTF">2020-11-17T05:53:00Z</dcterms:modified>
</cp:coreProperties>
</file>