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Default="002D31DF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D2">
        <w:rPr>
          <w:rFonts w:ascii="Times New Roman" w:hAnsi="Times New Roman"/>
          <w:b/>
          <w:noProof/>
        </w:rPr>
        <w:drawing>
          <wp:inline distT="0" distB="0" distL="0" distR="0" wp14:anchorId="1BB39FE9" wp14:editId="550A74C0">
            <wp:extent cx="542925" cy="752475"/>
            <wp:effectExtent l="0" t="0" r="0" b="0"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</w:t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«КУЖЕНКИНСКОЕ ГОРОДСКОЕ ПОСЕЛЕНИЕ»</w:t>
      </w:r>
    </w:p>
    <w:p w:rsidR="002B464C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БОЛОГОВСКОГО РАЙОНА ТВЕРСКОЙ ОБЛАСТИ</w:t>
      </w:r>
      <w:r w:rsidRPr="00EE0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1DF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DF" w:rsidRPr="007D15B0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6F287E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6F287E" w:rsidRDefault="004A3FCF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F3FE7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E080E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E080E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6F287E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6F287E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6F287E" w:rsidRDefault="00BE16A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EE080E" w:rsidRPr="006F287E" w:rsidTr="00CA0524">
        <w:tc>
          <w:tcPr>
            <w:tcW w:w="2392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Default="004A3FCF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Куженкино</w:t>
            </w:r>
          </w:p>
          <w:p w:rsidR="002D31DF" w:rsidRPr="006F287E" w:rsidRDefault="002D31DF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DD5" w:rsidRPr="006F287E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F287E" w:rsidRPr="006F287E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(«дорожн</w:t>
      </w:r>
      <w:r w:rsidR="004A3FC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4A3F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</w:p>
    <w:p w:rsidR="006F287E" w:rsidRPr="006F287E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по погашению (реструктуризации) кредиторской </w:t>
      </w:r>
    </w:p>
    <w:p w:rsidR="006F287E" w:rsidRPr="006F287E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бюджетным обязательствам </w:t>
      </w:r>
    </w:p>
    <w:p w:rsidR="004A3FCF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A3FCF">
        <w:rPr>
          <w:rFonts w:ascii="Times New Roman" w:eastAsia="Times New Roman" w:hAnsi="Times New Roman" w:cs="Times New Roman"/>
          <w:sz w:val="28"/>
          <w:szCs w:val="28"/>
        </w:rPr>
        <w:t>Куженкинское</w:t>
      </w:r>
      <w:proofErr w:type="spellEnd"/>
      <w:r w:rsidR="004A3FC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287E" w:rsidRPr="006F287E" w:rsidRDefault="004A3FCF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="006F287E" w:rsidRPr="006F2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87E" w:rsidRPr="006F287E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сложившейся в периоды 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6F287E" w:rsidRPr="006F287E" w:rsidRDefault="006F287E" w:rsidP="006F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87E" w:rsidRPr="006F287E" w:rsidRDefault="006F287E" w:rsidP="006F2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целях усиления контроля за состоянием кредиторской задолженности бюджета муниципального образования «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Куженкинское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области, предотвращения просроченной кредиторской задолженности, а также достижения показателей, указанных в Соглашении о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Куженкинское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между Министерством финансов Тверской области и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Куженкинским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городским поселением, Администрация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Куженкинского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</w:t>
      </w:r>
    </w:p>
    <w:p w:rsidR="007162F1" w:rsidRPr="0066288D" w:rsidRDefault="007162F1" w:rsidP="007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C5982">
        <w:rPr>
          <w:rFonts w:ascii="Times New Roman" w:hAnsi="Times New Roman" w:cs="Times New Roman"/>
          <w:b/>
          <w:sz w:val="28"/>
          <w:szCs w:val="28"/>
        </w:rPr>
        <w:t>ЕТ</w:t>
      </w:r>
      <w:r w:rsidRPr="00EE080E">
        <w:rPr>
          <w:rFonts w:ascii="Times New Roman" w:hAnsi="Times New Roman" w:cs="Times New Roman"/>
          <w:b/>
          <w:sz w:val="28"/>
          <w:szCs w:val="28"/>
        </w:rPr>
        <w:t>:</w:t>
      </w:r>
    </w:p>
    <w:p w:rsidR="007162F1" w:rsidRPr="006F287E" w:rsidRDefault="007162F1" w:rsidP="006F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7E" w:rsidRPr="006F287E" w:rsidRDefault="006F287E" w:rsidP="006F28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(«дорожную карту») по погашению (реструктуризации) кредиторской задолженности по бюджетным обязательствам муниципального образования «</w:t>
      </w:r>
      <w:proofErr w:type="spellStart"/>
      <w:r w:rsidRPr="006F287E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женкинское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, сложившейся по со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тоянию на 1 января 20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6F287E" w:rsidRPr="006F287E" w:rsidRDefault="006F287E" w:rsidP="006F28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>Утвердить форму отчета об исполнении плана мероприятий («дорожной карты») по погашению (реструктуризации) кредиторской задолженности по бюджетным обязательствам муниципального образования «</w:t>
      </w:r>
      <w:proofErr w:type="spellStart"/>
      <w:r w:rsidRPr="006F287E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женкинское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ежеква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ртально не позднее 15 числа месяца, следующего за отчетным, согласно приложению № 2.</w:t>
      </w:r>
    </w:p>
    <w:p w:rsidR="006F287E" w:rsidRPr="006F287E" w:rsidRDefault="006F287E" w:rsidP="006F28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 1 января 20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</w:t>
      </w:r>
      <w:proofErr w:type="spellStart"/>
      <w:r w:rsidRPr="006F287E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0C5982">
        <w:rPr>
          <w:rFonts w:ascii="Times New Roman" w:eastAsia="Times New Roman" w:hAnsi="Times New Roman" w:cs="Times New Roman"/>
          <w:sz w:val="28"/>
          <w:szCs w:val="28"/>
        </w:rPr>
        <w:t>женкинского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5982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 w:rsidR="000C59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6F2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87E" w:rsidRPr="006F287E" w:rsidRDefault="006F287E" w:rsidP="006F287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162F1" w:rsidRPr="006F287E" w:rsidRDefault="007162F1" w:rsidP="006F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F1" w:rsidRPr="006F287E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8D" w:rsidRPr="006F287E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B4" w:rsidRDefault="002A77AC" w:rsidP="002D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 w:rsidR="003B6C3C" w:rsidRPr="006F28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6C3C" w:rsidRPr="006F287E">
        <w:rPr>
          <w:rFonts w:ascii="Times New Roman" w:hAnsi="Times New Roman" w:cs="Times New Roman"/>
          <w:sz w:val="28"/>
          <w:szCs w:val="28"/>
        </w:rPr>
        <w:t xml:space="preserve"> </w:t>
      </w:r>
      <w:r w:rsidR="000C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EB4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 А. Клушин</w:t>
      </w:r>
    </w:p>
    <w:p w:rsidR="006F287E" w:rsidRPr="006F287E" w:rsidRDefault="00FD0EB4" w:rsidP="002D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287E" w:rsidRPr="006F287E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C5982">
        <w:rPr>
          <w:rFonts w:ascii="Times New Roman" w:hAnsi="Times New Roman" w:cs="Times New Roman"/>
          <w:sz w:val="28"/>
          <w:szCs w:val="28"/>
        </w:rPr>
        <w:t xml:space="preserve">      </w:t>
      </w:r>
      <w:r w:rsidR="002D3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A77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F287E" w:rsidRPr="007B2A2C" w:rsidRDefault="007B2A2C" w:rsidP="007B2A2C">
      <w:pPr>
        <w:pStyle w:val="a7"/>
        <w:rPr>
          <w:rFonts w:eastAsia="Times New Roman"/>
        </w:rPr>
      </w:pPr>
      <w:r w:rsidRPr="007B2A2C">
        <w:rPr>
          <w:rFonts w:ascii="Times New Roman" w:eastAsia="Times New Roman" w:hAnsi="Times New Roman" w:cs="Times New Roman"/>
          <w:b/>
        </w:rPr>
        <w:lastRenderedPageBreak/>
        <w:t xml:space="preserve">СОГЛАСОВАНО             </w:t>
      </w:r>
      <w:r>
        <w:rPr>
          <w:rFonts w:eastAsia="Times New Roman"/>
        </w:rPr>
        <w:t xml:space="preserve">                                                                                                            </w:t>
      </w:r>
      <w:r w:rsidR="006F287E" w:rsidRPr="007B2A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F287E" w:rsidRPr="007B2A2C" w:rsidRDefault="007B2A2C" w:rsidP="007B2A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B2A2C">
        <w:rPr>
          <w:rFonts w:ascii="Times New Roman" w:eastAsia="Times New Roman" w:hAnsi="Times New Roman" w:cs="Times New Roman"/>
          <w:b/>
          <w:sz w:val="24"/>
          <w:szCs w:val="24"/>
        </w:rPr>
        <w:t>Глава МО «</w:t>
      </w:r>
      <w:proofErr w:type="spellStart"/>
      <w:r w:rsidRPr="007B2A2C">
        <w:rPr>
          <w:rFonts w:ascii="Times New Roman" w:eastAsia="Times New Roman" w:hAnsi="Times New Roman" w:cs="Times New Roman"/>
          <w:b/>
          <w:sz w:val="24"/>
          <w:szCs w:val="24"/>
        </w:rPr>
        <w:t>Бологовский</w:t>
      </w:r>
      <w:proofErr w:type="spellEnd"/>
      <w:r w:rsidRPr="007B2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2A2C">
        <w:rPr>
          <w:rFonts w:ascii="Times New Roman" w:eastAsia="Times New Roman" w:hAnsi="Times New Roman" w:cs="Times New Roman"/>
          <w:b/>
          <w:sz w:val="24"/>
          <w:szCs w:val="24"/>
        </w:rPr>
        <w:t>район»</w:t>
      </w:r>
      <w:r>
        <w:rPr>
          <w:rFonts w:eastAsia="Times New Roman"/>
          <w:sz w:val="24"/>
          <w:szCs w:val="24"/>
        </w:rPr>
        <w:t xml:space="preserve">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               </w:t>
      </w:r>
      <w:r w:rsidR="006F287E" w:rsidRPr="007B2A2C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F287E" w:rsidRPr="007B2A2C" w:rsidRDefault="007B2A2C" w:rsidP="007B2A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B2A2C">
        <w:rPr>
          <w:rFonts w:ascii="Times New Roman" w:eastAsia="Times New Roman" w:hAnsi="Times New Roman" w:cs="Times New Roman"/>
          <w:b/>
          <w:sz w:val="24"/>
          <w:szCs w:val="24"/>
        </w:rPr>
        <w:t>_______________ Г.А. Ломака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 w:rsidR="006F287E" w:rsidRPr="007B2A2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F287E" w:rsidRPr="007B2A2C" w:rsidRDefault="002D31DF" w:rsidP="007B2A2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2A2C">
        <w:rPr>
          <w:rFonts w:ascii="Times New Roman" w:eastAsia="Times New Roman" w:hAnsi="Times New Roman" w:cs="Times New Roman"/>
          <w:sz w:val="24"/>
          <w:szCs w:val="24"/>
        </w:rPr>
        <w:t>Куженкинского</w:t>
      </w:r>
      <w:proofErr w:type="spellEnd"/>
      <w:r w:rsidRPr="007B2A2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6F287E" w:rsidRPr="007B2A2C" w:rsidRDefault="006F287E" w:rsidP="007B2A2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A2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31DF" w:rsidRPr="007B2A2C">
        <w:rPr>
          <w:rFonts w:ascii="Times New Roman" w:eastAsia="Times New Roman" w:hAnsi="Times New Roman" w:cs="Times New Roman"/>
          <w:sz w:val="24"/>
          <w:szCs w:val="24"/>
        </w:rPr>
        <w:t>22.12.2021 г</w:t>
      </w:r>
      <w:r w:rsidRPr="007B2A2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D31DF" w:rsidRPr="007B2A2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F287E" w:rsidRPr="006F287E" w:rsidRDefault="006F287E" w:rsidP="007B2A2C">
      <w:pPr>
        <w:pStyle w:val="a7"/>
        <w:jc w:val="right"/>
        <w:rPr>
          <w:rFonts w:eastAsia="Times New Roman"/>
          <w:sz w:val="24"/>
          <w:szCs w:val="24"/>
        </w:rPr>
      </w:pPr>
    </w:p>
    <w:p w:rsidR="006F287E" w:rsidRPr="006F287E" w:rsidRDefault="006F287E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(«дорожная карта») по погашению (реструктуризации) в </w:t>
      </w:r>
      <w:r w:rsidR="002D31DF">
        <w:rPr>
          <w:rFonts w:ascii="Times New Roman" w:eastAsia="Times New Roman" w:hAnsi="Times New Roman" w:cs="Times New Roman"/>
          <w:b/>
          <w:sz w:val="28"/>
          <w:szCs w:val="28"/>
        </w:rPr>
        <w:t>2021-2023</w:t>
      </w: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 кредиторской задолженности, сложившейся по состоянию на 01.01.20</w:t>
      </w:r>
      <w:r w:rsidR="002D31D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213"/>
        <w:gridCol w:w="1450"/>
        <w:gridCol w:w="3089"/>
        <w:gridCol w:w="8"/>
      </w:tblGrid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16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3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1625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6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3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5" w:type="pct"/>
            <w:vAlign w:val="center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287E" w:rsidRPr="006F287E" w:rsidTr="004B1934">
        <w:trPr>
          <w:trHeight w:val="253"/>
        </w:trPr>
        <w:tc>
          <w:tcPr>
            <w:tcW w:w="5000" w:type="pct"/>
            <w:gridSpan w:val="5"/>
            <w:vAlign w:val="center"/>
          </w:tcPr>
          <w:p w:rsidR="006F287E" w:rsidRPr="006F287E" w:rsidRDefault="006F287E" w:rsidP="006F287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состояния кредиторской задолженности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инвентаризации кредиторской </w:t>
            </w:r>
            <w:proofErr w:type="gramStart"/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задолженности  по</w:t>
            </w:r>
            <w:proofErr w:type="gramEnd"/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состоянию на 01.01.20</w:t>
            </w:r>
            <w:r w:rsidR="002D31D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составлением актов сверки расчетов с кредиторами, обоснованием причин и сроков ее образования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625" w:type="pct"/>
          </w:tcPr>
          <w:p w:rsidR="006F287E" w:rsidRDefault="002D31DF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2D31DF" w:rsidRPr="006F287E" w:rsidRDefault="002D31DF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результатов инвентаризации, проведение анализа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результатов работы с просроченной кредиторской задолженностью в целях корректировки дальнейших мер по ее погашению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4B1934">
        <w:trPr>
          <w:trHeight w:val="253"/>
        </w:trPr>
        <w:tc>
          <w:tcPr>
            <w:tcW w:w="5000" w:type="pct"/>
            <w:gridSpan w:val="5"/>
          </w:tcPr>
          <w:p w:rsidR="006F287E" w:rsidRPr="006F287E" w:rsidRDefault="006F287E" w:rsidP="006F287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Мероприятия, направленные на погашение (сокращение) кредиторской задолженности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 по списанию сумм  кредиторской задолженности с истекшим сроком исковой давности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 по возможной реструктуризации кредиторской задолженности во взаимодействии с кредиторами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кредиторской задолженности за счет высвобождения средств, сложившегося по отдельным направлениям расходов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1409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Погашение кредиторской задолженности за счет дополнительных источников доходов</w:t>
            </w:r>
            <w:r w:rsidR="002D31DF">
              <w:rPr>
                <w:rFonts w:ascii="Times New Roman" w:eastAsia="MS Mincho" w:hAnsi="Times New Roman" w:cs="Times New Roman"/>
                <w:sz w:val="26"/>
                <w:szCs w:val="26"/>
              </w:rPr>
              <w:t>, либо получении экономии по итогам конкурентных процедур при осуществлении закупок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Разработка лимитов тепло-, водо- и электроснабжения для муниципальных учреждений, электроснабжения для уличного освещения, обеспечение контроля за соблюдением установленных лимитов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625" w:type="pct"/>
          </w:tcPr>
          <w:p w:rsidR="002D31DF" w:rsidRDefault="002D31DF" w:rsidP="002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6F287E" w:rsidRPr="006F287E" w:rsidRDefault="002D31DF" w:rsidP="002D31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2C1518" w:rsidRPr="006F287E" w:rsidTr="00321CA7">
        <w:trPr>
          <w:gridAfter w:val="1"/>
          <w:wAfter w:w="4" w:type="pct"/>
          <w:trHeight w:val="253"/>
        </w:trPr>
        <w:tc>
          <w:tcPr>
            <w:tcW w:w="392" w:type="pct"/>
          </w:tcPr>
          <w:p w:rsidR="002C1518" w:rsidRPr="006F287E" w:rsidRDefault="002C1518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216" w:type="pct"/>
          </w:tcPr>
          <w:p w:rsidR="002C1518" w:rsidRPr="006F287E" w:rsidRDefault="002C1518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Включение в трудовые договоры. Заключенные с руководителями учреждений в качестве оценки эффективности и результативности его деятельности предельные показатели, а также исполнение показателей при осуществлении стимулирующих выплат</w:t>
            </w:r>
          </w:p>
        </w:tc>
        <w:tc>
          <w:tcPr>
            <w:tcW w:w="763" w:type="pct"/>
          </w:tcPr>
          <w:p w:rsidR="002C1518" w:rsidRPr="006F287E" w:rsidRDefault="002C1518" w:rsidP="006F287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25" w:type="pct"/>
          </w:tcPr>
          <w:p w:rsidR="002C1518" w:rsidRPr="002C1518" w:rsidRDefault="002C1518" w:rsidP="002C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2C1518" w:rsidRDefault="002C1518" w:rsidP="002C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4B1934">
        <w:trPr>
          <w:trHeight w:val="635"/>
        </w:trPr>
        <w:tc>
          <w:tcPr>
            <w:tcW w:w="5000" w:type="pct"/>
            <w:gridSpan w:val="5"/>
          </w:tcPr>
          <w:p w:rsidR="006F287E" w:rsidRPr="006F287E" w:rsidRDefault="006F287E" w:rsidP="006F287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Мероприятия, направленные на предупреждение образования просроченной кредиторской задолженности</w:t>
            </w:r>
          </w:p>
        </w:tc>
      </w:tr>
      <w:tr w:rsidR="006F287E" w:rsidRPr="006F287E" w:rsidTr="00321CA7">
        <w:trPr>
          <w:gridAfter w:val="1"/>
          <w:wAfter w:w="4" w:type="pct"/>
          <w:trHeight w:val="1287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соблюдением законодательства о контрактной системе в сфере закупок для муниципальных нужд, включая контроль за лимитами бюджетных обязательств, предусмотренных для осуществления закупок, как конкурентным способом, так и по прямым договорам (у единственного поставщика (подрядчика, исполнителя)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25" w:type="pct"/>
          </w:tcPr>
          <w:p w:rsid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закупок Администрация </w:t>
            </w:r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Бологовский</w:t>
            </w:r>
            <w:proofErr w:type="spellEnd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Тверской области,</w:t>
            </w:r>
          </w:p>
          <w:p w:rsidR="002C1518" w:rsidRPr="002C1518" w:rsidRDefault="002C1518" w:rsidP="002C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</w:t>
            </w:r>
          </w:p>
          <w:p w:rsidR="002C1518" w:rsidRPr="006F287E" w:rsidRDefault="002C1518" w:rsidP="002C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Директор МБУК «Дом культуры п. Куженкино»</w:t>
            </w:r>
          </w:p>
        </w:tc>
      </w:tr>
      <w:tr w:rsidR="006F287E" w:rsidRPr="006F287E" w:rsidTr="00321CA7">
        <w:trPr>
          <w:gridAfter w:val="1"/>
          <w:wAfter w:w="4" w:type="pct"/>
          <w:trHeight w:val="1287"/>
        </w:trPr>
        <w:tc>
          <w:tcPr>
            <w:tcW w:w="392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MS Mincho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16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 по обеспечению поступления в полном объеме доходов в бюджет муниципальн</w:t>
            </w:r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</w:t>
            </w:r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ия «</w:t>
            </w:r>
            <w:proofErr w:type="spellStart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Куженкинское</w:t>
            </w:r>
            <w:proofErr w:type="spellEnd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 </w:t>
            </w:r>
            <w:proofErr w:type="spellStart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Бологовского</w:t>
            </w:r>
            <w:proofErr w:type="spellEnd"/>
            <w:r w:rsid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Тверской области</w:t>
            </w:r>
          </w:p>
        </w:tc>
        <w:tc>
          <w:tcPr>
            <w:tcW w:w="763" w:type="pct"/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25" w:type="pct"/>
          </w:tcPr>
          <w:p w:rsidR="002C1518" w:rsidRDefault="002C1518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</w:t>
            </w:r>
            <w:r w:rsidR="007B2A2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 земельных и имущественных отношений 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="007B2A2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район»,</w:t>
            </w:r>
          </w:p>
          <w:p w:rsidR="002C1518" w:rsidRDefault="002C1518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Главный бухгалтер</w:t>
            </w:r>
          </w:p>
          <w:p w:rsidR="002C1518" w:rsidRDefault="002C1518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6F287E" w:rsidRPr="006F287E" w:rsidRDefault="002C1518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F287E" w:rsidRPr="006F287E" w:rsidTr="00321CA7">
        <w:trPr>
          <w:gridAfter w:val="1"/>
          <w:wAfter w:w="4" w:type="pct"/>
          <w:trHeight w:val="27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Рассмотреть возможность отказа в предоставлении субсидий юридическому лицу, при наличии у него просроченной задолженности перед бюджетами всех уровней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2C1518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6F287E" w:rsidRPr="006F287E" w:rsidTr="00321CA7">
        <w:trPr>
          <w:gridAfter w:val="1"/>
          <w:wAfter w:w="4" w:type="pct"/>
          <w:trHeight w:val="27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Рассмотреть возможность отказа от авансирования при заключении контрактов в случае</w:t>
            </w:r>
            <w:r w:rsidR="00321CA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если срок поставки или срок оказания услуг превышает 30 дней со дня заключения контракта (за исключением социально-ориентированных организаций и субъектов малого предпринимательства)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6F287E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87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E" w:rsidRPr="006F287E" w:rsidRDefault="002C1518" w:rsidP="006F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Куженкинского</w:t>
            </w:r>
            <w:proofErr w:type="spellEnd"/>
            <w:r w:rsidRPr="002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</w:tbl>
    <w:p w:rsidR="006F287E" w:rsidRDefault="006F287E" w:rsidP="0055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87E" w:rsidSect="006F287E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2C1518" w:rsidRPr="006F287E" w:rsidRDefault="002C1518" w:rsidP="002C1518">
      <w:pPr>
        <w:spacing w:after="0" w:line="240" w:lineRule="auto"/>
        <w:ind w:left="7088" w:right="-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C1518" w:rsidRDefault="002C1518" w:rsidP="002C1518">
      <w:pPr>
        <w:spacing w:after="0" w:line="240" w:lineRule="auto"/>
        <w:ind w:left="7088" w:right="-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87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2C1518" w:rsidRDefault="002C1518" w:rsidP="002C1518">
      <w:pPr>
        <w:spacing w:after="0" w:line="240" w:lineRule="auto"/>
        <w:ind w:left="7088" w:right="-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2C1518" w:rsidRDefault="002C1518" w:rsidP="002C1518">
      <w:pPr>
        <w:spacing w:after="0" w:line="240" w:lineRule="auto"/>
        <w:ind w:left="7088" w:right="-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Куженкинского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2C1518" w:rsidRDefault="002C1518" w:rsidP="002C1518">
      <w:pPr>
        <w:spacing w:after="0" w:line="240" w:lineRule="auto"/>
        <w:ind w:left="7088" w:right="-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22.12.2021 г № ___</w:t>
      </w:r>
    </w:p>
    <w:p w:rsidR="006F287E" w:rsidRPr="006F287E" w:rsidRDefault="006F287E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отчета об исполнении плана мероприятий («дорожной карты») </w:t>
      </w:r>
    </w:p>
    <w:p w:rsidR="006F287E" w:rsidRPr="006F287E" w:rsidRDefault="006F287E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по погашению (</w:t>
      </w:r>
      <w:proofErr w:type="spellStart"/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реструктаризации</w:t>
      </w:r>
      <w:proofErr w:type="spellEnd"/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 xml:space="preserve">) кредиторской задолженности </w:t>
      </w:r>
    </w:p>
    <w:p w:rsidR="006F287E" w:rsidRPr="006F287E" w:rsidRDefault="006F287E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по бюджетным обязательствам</w:t>
      </w:r>
    </w:p>
    <w:p w:rsidR="002C1518" w:rsidRDefault="006F287E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="002C1518">
        <w:rPr>
          <w:rFonts w:ascii="Times New Roman" w:eastAsia="Times New Roman" w:hAnsi="Times New Roman" w:cs="Times New Roman"/>
          <w:b/>
          <w:sz w:val="28"/>
          <w:szCs w:val="28"/>
        </w:rPr>
        <w:t>женкинское</w:t>
      </w:r>
      <w:proofErr w:type="spellEnd"/>
      <w:r w:rsidR="002C15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6F28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C1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287E" w:rsidRPr="006F287E" w:rsidRDefault="002C1518" w:rsidP="006F287E">
      <w:pPr>
        <w:spacing w:before="80" w:after="80" w:line="264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85"/>
        <w:gridCol w:w="3873"/>
        <w:gridCol w:w="4470"/>
      </w:tblGrid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  <w:r w:rsidRPr="006F28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  <w:r w:rsidRPr="006F287E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  <w:r w:rsidRPr="006F287E">
              <w:rPr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F287E" w:rsidRPr="006F287E" w:rsidTr="004B1934">
        <w:tc>
          <w:tcPr>
            <w:tcW w:w="2093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6F287E" w:rsidRPr="006F287E" w:rsidRDefault="006F287E" w:rsidP="006F287E">
            <w:pPr>
              <w:spacing w:before="80" w:after="80" w:line="264" w:lineRule="auto"/>
              <w:ind w:right="-2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F287E" w:rsidRPr="00776584" w:rsidRDefault="006F287E" w:rsidP="0055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87E" w:rsidRPr="00776584" w:rsidSect="006F287E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C98"/>
    <w:multiLevelType w:val="hybridMultilevel"/>
    <w:tmpl w:val="E09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732"/>
    <w:multiLevelType w:val="hybridMultilevel"/>
    <w:tmpl w:val="A12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C5982"/>
    <w:rsid w:val="0012227A"/>
    <w:rsid w:val="00185D6D"/>
    <w:rsid w:val="00196731"/>
    <w:rsid w:val="001C6EED"/>
    <w:rsid w:val="001D3E34"/>
    <w:rsid w:val="002045A7"/>
    <w:rsid w:val="00214E95"/>
    <w:rsid w:val="002A77AC"/>
    <w:rsid w:val="002B398A"/>
    <w:rsid w:val="002B464C"/>
    <w:rsid w:val="002C1518"/>
    <w:rsid w:val="002D31DF"/>
    <w:rsid w:val="00321CA7"/>
    <w:rsid w:val="003318B3"/>
    <w:rsid w:val="00353F8A"/>
    <w:rsid w:val="003577EF"/>
    <w:rsid w:val="003B6C3C"/>
    <w:rsid w:val="004566A9"/>
    <w:rsid w:val="004776DA"/>
    <w:rsid w:val="004777C4"/>
    <w:rsid w:val="004A3FCF"/>
    <w:rsid w:val="004F3FE7"/>
    <w:rsid w:val="00503FA9"/>
    <w:rsid w:val="00531554"/>
    <w:rsid w:val="00557D95"/>
    <w:rsid w:val="00566E38"/>
    <w:rsid w:val="005A598F"/>
    <w:rsid w:val="005E578E"/>
    <w:rsid w:val="0066288D"/>
    <w:rsid w:val="006E20F8"/>
    <w:rsid w:val="006E73F5"/>
    <w:rsid w:val="006F287E"/>
    <w:rsid w:val="006F63A3"/>
    <w:rsid w:val="007014B5"/>
    <w:rsid w:val="007162F1"/>
    <w:rsid w:val="00720BEC"/>
    <w:rsid w:val="00765502"/>
    <w:rsid w:val="00776584"/>
    <w:rsid w:val="00777B9F"/>
    <w:rsid w:val="007B2A2C"/>
    <w:rsid w:val="007D15B0"/>
    <w:rsid w:val="00820699"/>
    <w:rsid w:val="00834217"/>
    <w:rsid w:val="00847168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D03CC"/>
    <w:rsid w:val="00BE16A3"/>
    <w:rsid w:val="00BF45CD"/>
    <w:rsid w:val="00C222B1"/>
    <w:rsid w:val="00C80670"/>
    <w:rsid w:val="00CA79A3"/>
    <w:rsid w:val="00CB343D"/>
    <w:rsid w:val="00D623B7"/>
    <w:rsid w:val="00D80E1A"/>
    <w:rsid w:val="00E07B9C"/>
    <w:rsid w:val="00E909C4"/>
    <w:rsid w:val="00EE080E"/>
    <w:rsid w:val="00FD0EB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B8E3"/>
  <w15:docId w15:val="{A122CB78-9900-455C-AE92-AF3BFAD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uiPriority w:val="99"/>
    <w:rsid w:val="006F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B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A32</cp:lastModifiedBy>
  <cp:revision>14</cp:revision>
  <cp:lastPrinted>2021-12-23T06:11:00Z</cp:lastPrinted>
  <dcterms:created xsi:type="dcterms:W3CDTF">2021-12-22T14:09:00Z</dcterms:created>
  <dcterms:modified xsi:type="dcterms:W3CDTF">2021-12-23T06:13:00Z</dcterms:modified>
</cp:coreProperties>
</file>