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57" w:rsidRPr="005D2E8C" w:rsidRDefault="005E3C57" w:rsidP="005E3C57">
      <w:r w:rsidRPr="005D2E8C">
        <w:t xml:space="preserve">РОССИЙСКАЯ  ФЕДЕРАЦИЯ                                         </w:t>
      </w:r>
    </w:p>
    <w:p w:rsidR="005E3C57" w:rsidRPr="005D2E8C" w:rsidRDefault="005E3C57" w:rsidP="005E3C57">
      <w:r w:rsidRPr="005D2E8C">
        <w:t xml:space="preserve">           Администрация                                                                                </w:t>
      </w:r>
    </w:p>
    <w:p w:rsidR="005E3C57" w:rsidRPr="005D2E8C" w:rsidRDefault="005E3C57" w:rsidP="005E3C57">
      <w:r w:rsidRPr="005D2E8C">
        <w:t xml:space="preserve">      сельского поселения                                                    </w:t>
      </w:r>
    </w:p>
    <w:p w:rsidR="005E3C57" w:rsidRPr="005D2E8C" w:rsidRDefault="005E3C57" w:rsidP="005E3C57">
      <w:r w:rsidRPr="005D2E8C">
        <w:t xml:space="preserve">            ЗАВОЛЖЬЕ                                                            </w:t>
      </w:r>
    </w:p>
    <w:p w:rsidR="005E3C57" w:rsidRPr="005D2E8C" w:rsidRDefault="005E3C57" w:rsidP="005E3C57">
      <w:r w:rsidRPr="005D2E8C">
        <w:t xml:space="preserve">     муниципальный район                                                  </w:t>
      </w:r>
    </w:p>
    <w:p w:rsidR="005E3C57" w:rsidRPr="005D2E8C" w:rsidRDefault="005E3C57" w:rsidP="005E3C57">
      <w:r w:rsidRPr="005D2E8C">
        <w:t xml:space="preserve">           Приволжский                                                            </w:t>
      </w:r>
    </w:p>
    <w:p w:rsidR="005E3C57" w:rsidRPr="005D2E8C" w:rsidRDefault="005E3C57" w:rsidP="005E3C57">
      <w:r w:rsidRPr="005D2E8C">
        <w:t xml:space="preserve">      Самарской области                                                     </w:t>
      </w:r>
    </w:p>
    <w:p w:rsidR="005E3C57" w:rsidRPr="005D2E8C" w:rsidRDefault="005E3C57" w:rsidP="005E3C57">
      <w:r w:rsidRPr="005D2E8C">
        <w:t xml:space="preserve">     445554, с. Заволжье                                                                                                         </w:t>
      </w:r>
    </w:p>
    <w:p w:rsidR="005E3C57" w:rsidRPr="005D2E8C" w:rsidRDefault="005E3C57" w:rsidP="005E3C57">
      <w:r w:rsidRPr="005D2E8C">
        <w:t>Приволжского р-на, Самарской обл</w:t>
      </w:r>
      <w:r w:rsidR="00FC176A">
        <w:t>асти</w:t>
      </w:r>
      <w:r w:rsidRPr="005D2E8C">
        <w:t xml:space="preserve">                                         </w:t>
      </w:r>
    </w:p>
    <w:p w:rsidR="005E3C57" w:rsidRPr="005D2E8C" w:rsidRDefault="005E3C57" w:rsidP="005E3C57">
      <w:r w:rsidRPr="005D2E8C">
        <w:t xml:space="preserve">          ул. Школьная 23</w:t>
      </w:r>
    </w:p>
    <w:p w:rsidR="005E3C57" w:rsidRPr="005D2E8C" w:rsidRDefault="005E3C57" w:rsidP="005E3C57">
      <w:pPr>
        <w:rPr>
          <w:lang w:val="en-US"/>
        </w:rPr>
      </w:pPr>
      <w:r w:rsidRPr="005D2E8C">
        <w:t xml:space="preserve">         тел</w:t>
      </w:r>
      <w:r w:rsidRPr="005D2E8C">
        <w:rPr>
          <w:lang w:val="en-US"/>
        </w:rPr>
        <w:t xml:space="preserve">.8(84647) 9-74-26 </w:t>
      </w:r>
    </w:p>
    <w:p w:rsidR="005E3C57" w:rsidRPr="005D2E8C" w:rsidRDefault="005E3C57" w:rsidP="005E3C57">
      <w:pPr>
        <w:rPr>
          <w:lang w:val="en-US"/>
        </w:rPr>
      </w:pPr>
      <w:r w:rsidRPr="005D2E8C">
        <w:rPr>
          <w:lang w:val="en-US"/>
        </w:rPr>
        <w:t xml:space="preserve">E-mail:   </w:t>
      </w:r>
      <w:hyperlink r:id="rId5" w:history="1">
        <w:r w:rsidRPr="005D2E8C">
          <w:rPr>
            <w:rStyle w:val="a3"/>
            <w:color w:val="0000F1"/>
            <w:lang w:val="en-US"/>
          </w:rPr>
          <w:t>zavolzhie.pv@yandex.ru</w:t>
        </w:r>
      </w:hyperlink>
      <w:r w:rsidRPr="005D2E8C">
        <w:rPr>
          <w:rStyle w:val="b-message-headfield-value"/>
          <w:color w:val="000000"/>
          <w:lang w:val="en-US"/>
        </w:rPr>
        <w:t>,</w:t>
      </w:r>
    </w:p>
    <w:p w:rsidR="005E3C57" w:rsidRPr="005D2E8C" w:rsidRDefault="005E3C57" w:rsidP="005E3C57">
      <w:r w:rsidRPr="005D2E8C">
        <w:t xml:space="preserve">Сайт:  </w:t>
      </w:r>
      <w:r w:rsidRPr="005D2E8C">
        <w:rPr>
          <w:lang w:val="en-US"/>
        </w:rPr>
        <w:t>http</w:t>
      </w:r>
      <w:r w:rsidRPr="005D2E8C">
        <w:t>://</w:t>
      </w:r>
      <w:proofErr w:type="spellStart"/>
      <w:r w:rsidRPr="005D2E8C">
        <w:rPr>
          <w:lang w:val="en-US"/>
        </w:rPr>
        <w:t>zavolzh</w:t>
      </w:r>
      <w:proofErr w:type="spellEnd"/>
      <w:r w:rsidRPr="005D2E8C">
        <w:t>.</w:t>
      </w:r>
      <w:proofErr w:type="spellStart"/>
      <w:r w:rsidRPr="005D2E8C">
        <w:rPr>
          <w:lang w:val="en-US"/>
        </w:rPr>
        <w:t>ru</w:t>
      </w:r>
      <w:proofErr w:type="spellEnd"/>
      <w:r w:rsidRPr="005D2E8C">
        <w:t xml:space="preserve">/   </w:t>
      </w:r>
    </w:p>
    <w:p w:rsidR="005E3C57" w:rsidRPr="005D2E8C" w:rsidRDefault="005E3C57" w:rsidP="005E3C57"/>
    <w:p w:rsidR="005E3C57" w:rsidRPr="005D2E8C" w:rsidRDefault="005E3C57" w:rsidP="005E3C57">
      <w:r w:rsidRPr="005D2E8C">
        <w:t xml:space="preserve">  ПОСТАНОВЛЕНИЕ </w:t>
      </w:r>
    </w:p>
    <w:p w:rsidR="005E3C57" w:rsidRPr="005D2E8C" w:rsidRDefault="005E3C57" w:rsidP="005E3C57"/>
    <w:p w:rsidR="005E3C57" w:rsidRPr="005D2E8C" w:rsidRDefault="005E3C57" w:rsidP="005E3C57">
      <w:pPr>
        <w:rPr>
          <w:u w:val="single"/>
        </w:rPr>
      </w:pPr>
      <w:r w:rsidRPr="005D2E8C">
        <w:t>от _</w:t>
      </w:r>
      <w:r w:rsidR="00C00990" w:rsidRPr="005D2E8C">
        <w:rPr>
          <w:u w:val="single"/>
        </w:rPr>
        <w:t>22</w:t>
      </w:r>
      <w:r w:rsidRPr="005D2E8C">
        <w:rPr>
          <w:u w:val="single"/>
        </w:rPr>
        <w:t>.02.202</w:t>
      </w:r>
      <w:r w:rsidR="00C00990" w:rsidRPr="005D2E8C">
        <w:rPr>
          <w:u w:val="single"/>
        </w:rPr>
        <w:t>3</w:t>
      </w:r>
      <w:r w:rsidRPr="005D2E8C">
        <w:t xml:space="preserve"> г.   № </w:t>
      </w:r>
      <w:r w:rsidR="009311FF" w:rsidRPr="005D2E8C">
        <w:rPr>
          <w:u w:val="single"/>
        </w:rPr>
        <w:t>17</w:t>
      </w:r>
    </w:p>
    <w:p w:rsidR="005E3C57" w:rsidRPr="005D2E8C" w:rsidRDefault="005E3C57" w:rsidP="005E3C57">
      <w:pPr>
        <w:jc w:val="both"/>
        <w:rPr>
          <w:b/>
        </w:rPr>
      </w:pPr>
    </w:p>
    <w:p w:rsidR="005D2E8C" w:rsidRDefault="005D2E8C" w:rsidP="005D2E8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33E2">
        <w:rPr>
          <w:rFonts w:ascii="Times New Roman" w:hAnsi="Times New Roman" w:cs="Times New Roman"/>
          <w:sz w:val="24"/>
          <w:szCs w:val="24"/>
        </w:rPr>
        <w:t>О возмещении</w:t>
      </w:r>
      <w:r>
        <w:rPr>
          <w:rFonts w:ascii="Times New Roman" w:hAnsi="Times New Roman" w:cs="Times New Roman"/>
          <w:sz w:val="24"/>
          <w:szCs w:val="24"/>
        </w:rPr>
        <w:t xml:space="preserve"> вреда, причиняемого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тяжеловесными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транспортными </w:t>
      </w:r>
    </w:p>
    <w:p w:rsidR="005D2E8C" w:rsidRDefault="005D2E8C" w:rsidP="005D2E8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средствами при движении по автомобильным дорогам общего пользования </w:t>
      </w:r>
    </w:p>
    <w:p w:rsidR="005D2E8C" w:rsidRPr="001E33E2" w:rsidRDefault="005D2E8C" w:rsidP="005D2E8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7D0AA9" w:rsidRDefault="007D0AA9" w:rsidP="005E3C5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D0AA9" w:rsidRPr="001E33E2" w:rsidRDefault="007D0AA9" w:rsidP="007D0AA9">
      <w:pPr>
        <w:shd w:val="clear" w:color="auto" w:fill="FFFFFF"/>
        <w:spacing w:after="240"/>
        <w:ind w:firstLine="426"/>
        <w:jc w:val="both"/>
        <w:textAlignment w:val="baseline"/>
        <w:rPr>
          <w:lang w:eastAsia="ru-RU"/>
        </w:rPr>
      </w:pPr>
      <w:proofErr w:type="gramStart"/>
      <w:r w:rsidRPr="003E11D4">
        <w:rPr>
          <w:lang w:eastAsia="ru-RU"/>
        </w:rPr>
        <w:t>В соответствии с частью 9</w:t>
      </w:r>
      <w:r>
        <w:rPr>
          <w:lang w:eastAsia="ru-RU"/>
        </w:rPr>
        <w:t xml:space="preserve"> статьи 31 Федерального закона от 08.11.2007 г. № 257-ФЗ «</w:t>
      </w:r>
      <w:r w:rsidRPr="003E11D4">
        <w:rPr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lang w:eastAsia="ru-RU"/>
        </w:rPr>
        <w:t>льные акты Российской Федерации»</w:t>
      </w:r>
      <w:r w:rsidRPr="003E11D4">
        <w:rPr>
          <w:lang w:eastAsia="ru-RU"/>
        </w:rPr>
        <w:t xml:space="preserve">, </w:t>
      </w:r>
      <w:r>
        <w:rPr>
          <w:lang w:eastAsia="ru-RU"/>
        </w:rPr>
        <w:t>П</w:t>
      </w:r>
      <w:r w:rsidRPr="003E11D4">
        <w:rPr>
          <w:lang w:eastAsia="ru-RU"/>
        </w:rPr>
        <w:t>остановлением Правительства Российско</w:t>
      </w:r>
      <w:r>
        <w:rPr>
          <w:lang w:eastAsia="ru-RU"/>
        </w:rPr>
        <w:t>й Федерации от 31.01.2020 г. N 67 «</w:t>
      </w:r>
      <w:r w:rsidRPr="003E11D4">
        <w:rPr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>
        <w:rPr>
          <w:lang w:eastAsia="ru-RU"/>
        </w:rPr>
        <w:t>вительства</w:t>
      </w:r>
      <w:proofErr w:type="gramEnd"/>
      <w:r>
        <w:rPr>
          <w:lang w:eastAsia="ru-RU"/>
        </w:rPr>
        <w:t xml:space="preserve"> Российской Федерации» Постановлением </w:t>
      </w:r>
      <w:r w:rsidRPr="003E11D4">
        <w:rPr>
          <w:lang w:eastAsia="ru-RU"/>
        </w:rPr>
        <w:t>Правительств</w:t>
      </w:r>
      <w:r>
        <w:rPr>
          <w:lang w:eastAsia="ru-RU"/>
        </w:rPr>
        <w:t>а</w:t>
      </w:r>
      <w:r w:rsidRPr="003E11D4">
        <w:rPr>
          <w:lang w:eastAsia="ru-RU"/>
        </w:rPr>
        <w:t xml:space="preserve"> Самарской области</w:t>
      </w:r>
      <w:r>
        <w:rPr>
          <w:lang w:eastAsia="ru-RU"/>
        </w:rPr>
        <w:t xml:space="preserve"> от 03.03.2010 г. № 99 «О возмещении вреда, причиняемого тяжеловесными транспортными средствами при движении по автомобильным дорогам регионального или межмуниципального значения с Самарской области»</w:t>
      </w:r>
      <w:r w:rsidRPr="003E11D4">
        <w:rPr>
          <w:lang w:eastAsia="ru-RU"/>
        </w:rPr>
        <w:t xml:space="preserve">, </w:t>
      </w:r>
      <w:r>
        <w:rPr>
          <w:lang w:eastAsia="ru-RU"/>
        </w:rPr>
        <w:t xml:space="preserve">руководствуясь </w:t>
      </w:r>
      <w:r w:rsidRPr="003E11D4">
        <w:rPr>
          <w:lang w:eastAsia="ru-RU"/>
        </w:rPr>
        <w:t xml:space="preserve">Уставом сельского поселения </w:t>
      </w:r>
      <w:r>
        <w:rPr>
          <w:lang w:eastAsia="ru-RU"/>
        </w:rPr>
        <w:t>Заволжье</w:t>
      </w:r>
      <w:r w:rsidRPr="003E11D4">
        <w:rPr>
          <w:lang w:eastAsia="ru-RU"/>
        </w:rPr>
        <w:t xml:space="preserve"> муниципального района Приволжский Самарской области</w:t>
      </w:r>
      <w:r>
        <w:rPr>
          <w:lang w:eastAsia="ru-RU"/>
        </w:rPr>
        <w:t>,</w:t>
      </w:r>
    </w:p>
    <w:p w:rsidR="007D0AA9" w:rsidRPr="001E33E2" w:rsidRDefault="007D0AA9" w:rsidP="007D0AA9">
      <w:pPr>
        <w:shd w:val="clear" w:color="auto" w:fill="FFFFFF"/>
        <w:spacing w:after="240" w:line="312" w:lineRule="atLeast"/>
        <w:ind w:firstLine="426"/>
        <w:jc w:val="both"/>
        <w:textAlignment w:val="baseline"/>
        <w:rPr>
          <w:b/>
          <w:lang w:eastAsia="ru-RU"/>
        </w:rPr>
      </w:pPr>
      <w:r w:rsidRPr="001E33E2">
        <w:rPr>
          <w:b/>
          <w:lang w:eastAsia="ru-RU"/>
        </w:rPr>
        <w:t>ПОСТАНОВЛЯЮ:</w:t>
      </w:r>
    </w:p>
    <w:p w:rsidR="007D0AA9" w:rsidRDefault="007D0AA9" w:rsidP="007D0AA9">
      <w:pPr>
        <w:shd w:val="clear" w:color="auto" w:fill="FFFFFF"/>
        <w:spacing w:after="240"/>
        <w:ind w:firstLine="426"/>
        <w:jc w:val="both"/>
        <w:textAlignment w:val="baseline"/>
        <w:rPr>
          <w:lang w:eastAsia="ru-RU"/>
        </w:rPr>
      </w:pPr>
      <w:r w:rsidRPr="001E33E2">
        <w:rPr>
          <w:lang w:eastAsia="ru-RU"/>
        </w:rPr>
        <w:t xml:space="preserve">1. </w:t>
      </w:r>
      <w:r w:rsidRPr="00503654">
        <w:rPr>
          <w:lang w:eastAsia="ru-RU"/>
        </w:rPr>
        <w:t>Определить размер вреда, причиняемого тяжеловесными транспортными средствами при движении по автомобиль</w:t>
      </w:r>
      <w:r>
        <w:rPr>
          <w:lang w:eastAsia="ru-RU"/>
        </w:rPr>
        <w:t xml:space="preserve">ным дорогам общего пользования </w:t>
      </w:r>
      <w:r w:rsidRPr="00503654">
        <w:rPr>
          <w:lang w:eastAsia="ru-RU"/>
        </w:rPr>
        <w:t xml:space="preserve">местного значения сельского поселения </w:t>
      </w:r>
      <w:r>
        <w:rPr>
          <w:lang w:eastAsia="ru-RU"/>
        </w:rPr>
        <w:t>Заволжье</w:t>
      </w:r>
      <w:r w:rsidRPr="00503654">
        <w:rPr>
          <w:lang w:eastAsia="ru-RU"/>
        </w:rPr>
        <w:t xml:space="preserve"> муниципального района Приволжский Самарской области, в соответствии с показателями</w:t>
      </w:r>
      <w:r>
        <w:rPr>
          <w:lang w:eastAsia="ru-RU"/>
        </w:rPr>
        <w:t>,</w:t>
      </w:r>
      <w:r w:rsidRPr="00503654">
        <w:rPr>
          <w:lang w:eastAsia="ru-RU"/>
        </w:rPr>
        <w:t xml:space="preserve"> согласно приложению.</w:t>
      </w:r>
    </w:p>
    <w:p w:rsidR="007D0AA9" w:rsidRPr="001E33E2" w:rsidRDefault="007D0AA9" w:rsidP="007D0AA9">
      <w:pPr>
        <w:shd w:val="clear" w:color="auto" w:fill="FFFFFF"/>
        <w:spacing w:after="24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2. </w:t>
      </w:r>
      <w:proofErr w:type="gramStart"/>
      <w:r w:rsidRPr="00503654">
        <w:rPr>
          <w:lang w:eastAsia="ru-RU"/>
        </w:rPr>
        <w:t>Признать утратившим силу постановление</w:t>
      </w:r>
      <w:r>
        <w:rPr>
          <w:lang w:eastAsia="ru-RU"/>
        </w:rPr>
        <w:t xml:space="preserve"> администрации сельского поселения Заволжье муниципального района Приволжский Самарской области от 24.02.2021 г. № 90 «</w:t>
      </w:r>
      <w:r w:rsidRPr="00937F2C">
        <w:rPr>
          <w:lang w:eastAsia="ru-RU"/>
        </w:rPr>
        <w:t>Об утверж</w:t>
      </w:r>
      <w:r>
        <w:rPr>
          <w:lang w:eastAsia="ru-RU"/>
        </w:rPr>
        <w:t xml:space="preserve">дении Правил возмещения вреда, </w:t>
      </w:r>
      <w:r w:rsidRPr="00937F2C">
        <w:rPr>
          <w:lang w:eastAsia="ru-RU"/>
        </w:rPr>
        <w:t>причиняемо</w:t>
      </w:r>
      <w:r>
        <w:rPr>
          <w:lang w:eastAsia="ru-RU"/>
        </w:rPr>
        <w:t xml:space="preserve">го тяжеловесными транспортными </w:t>
      </w:r>
      <w:r w:rsidRPr="00937F2C">
        <w:rPr>
          <w:lang w:eastAsia="ru-RU"/>
        </w:rPr>
        <w:t xml:space="preserve">средствами на </w:t>
      </w:r>
      <w:r>
        <w:rPr>
          <w:lang w:eastAsia="ru-RU"/>
        </w:rPr>
        <w:t>территории сельского поселения Заволжье</w:t>
      </w:r>
      <w:r w:rsidRPr="00937F2C">
        <w:rPr>
          <w:lang w:eastAsia="ru-RU"/>
        </w:rPr>
        <w:t xml:space="preserve"> мун</w:t>
      </w:r>
      <w:r>
        <w:rPr>
          <w:lang w:eastAsia="ru-RU"/>
        </w:rPr>
        <w:t xml:space="preserve">иципального района Приволжский </w:t>
      </w:r>
      <w:r w:rsidRPr="00937F2C">
        <w:rPr>
          <w:lang w:eastAsia="ru-RU"/>
        </w:rPr>
        <w:t>Самарской области</w:t>
      </w:r>
      <w:r>
        <w:rPr>
          <w:lang w:eastAsia="ru-RU"/>
        </w:rPr>
        <w:t>».</w:t>
      </w:r>
      <w:proofErr w:type="gramEnd"/>
    </w:p>
    <w:p w:rsidR="007D0AA9" w:rsidRPr="001E33E2" w:rsidRDefault="007D0AA9" w:rsidP="007D0AA9">
      <w:pPr>
        <w:ind w:firstLine="426"/>
        <w:jc w:val="both"/>
        <w:rPr>
          <w:color w:val="000000"/>
        </w:rPr>
      </w:pPr>
      <w:r>
        <w:rPr>
          <w:rFonts w:eastAsia="Calibri"/>
        </w:rPr>
        <w:t>3</w:t>
      </w:r>
      <w:r w:rsidRPr="001E33E2">
        <w:rPr>
          <w:rFonts w:eastAsia="Calibri"/>
        </w:rPr>
        <w:t xml:space="preserve">. </w:t>
      </w:r>
      <w:r w:rsidRPr="001E33E2">
        <w:rPr>
          <w:color w:val="000000"/>
        </w:rPr>
        <w:t xml:space="preserve">Опубликовать настоящее постановление в информационном бюллетене «Вестник сельского поселения </w:t>
      </w:r>
      <w:r>
        <w:rPr>
          <w:color w:val="000000"/>
        </w:rPr>
        <w:t>Заволжье</w:t>
      </w:r>
      <w:r w:rsidRPr="001E33E2">
        <w:rPr>
          <w:color w:val="000000"/>
        </w:rPr>
        <w:t xml:space="preserve">» и разместить на официальном сайте администрации сельского поселения </w:t>
      </w:r>
      <w:r>
        <w:rPr>
          <w:color w:val="000000"/>
        </w:rPr>
        <w:t>Заволжье</w:t>
      </w:r>
      <w:r w:rsidRPr="001E33E2">
        <w:rPr>
          <w:color w:val="000000"/>
        </w:rPr>
        <w:t xml:space="preserve"> муниципального района Приволжский Самарской области в информационно-телекоммуникационной сети «Интернет» - </w:t>
      </w:r>
      <w:r>
        <w:t>http://</w:t>
      </w:r>
      <w:proofErr w:type="spellStart"/>
      <w:r>
        <w:rPr>
          <w:lang w:val="en-US"/>
        </w:rPr>
        <w:t>zavolz</w:t>
      </w:r>
      <w:r w:rsidR="00C96AEA">
        <w:rPr>
          <w:lang w:val="en-US"/>
        </w:rPr>
        <w:t>h</w:t>
      </w:r>
      <w:proofErr w:type="spellEnd"/>
      <w:r w:rsidR="00C96AEA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 w:rsidRPr="001E33E2">
        <w:rPr>
          <w:color w:val="000000"/>
        </w:rPr>
        <w:tab/>
      </w:r>
    </w:p>
    <w:p w:rsidR="007D0AA9" w:rsidRPr="001E33E2" w:rsidRDefault="007D0AA9" w:rsidP="007D0AA9">
      <w:pPr>
        <w:ind w:firstLine="426"/>
        <w:jc w:val="both"/>
      </w:pPr>
      <w:r>
        <w:rPr>
          <w:color w:val="000000"/>
        </w:rPr>
        <w:lastRenderedPageBreak/>
        <w:t>4</w:t>
      </w:r>
      <w:r w:rsidRPr="001E33E2">
        <w:rPr>
          <w:color w:val="000000"/>
        </w:rPr>
        <w:t xml:space="preserve">. </w:t>
      </w:r>
      <w:r w:rsidRPr="001E33E2">
        <w:t xml:space="preserve">Настоящее Постановление вступает в силу со дня его официального опубликования. </w:t>
      </w:r>
    </w:p>
    <w:p w:rsidR="007D0AA9" w:rsidRPr="001E33E2" w:rsidRDefault="007D0AA9" w:rsidP="007D0AA9">
      <w:pPr>
        <w:ind w:firstLine="426"/>
        <w:jc w:val="both"/>
        <w:rPr>
          <w:rFonts w:eastAsia="Calibri"/>
        </w:rPr>
      </w:pPr>
      <w:r>
        <w:t>5</w:t>
      </w:r>
      <w:r w:rsidRPr="001E33E2">
        <w:t xml:space="preserve">. </w:t>
      </w:r>
      <w:proofErr w:type="gramStart"/>
      <w:r w:rsidRPr="001E33E2">
        <w:t>Контроль за</w:t>
      </w:r>
      <w:proofErr w:type="gramEnd"/>
      <w:r w:rsidRPr="001E33E2">
        <w:t xml:space="preserve"> выполнением настоящего постановления оставляю за собой.</w:t>
      </w:r>
    </w:p>
    <w:p w:rsidR="007D0AA9" w:rsidRDefault="007D0AA9" w:rsidP="007D0AA9">
      <w:pPr>
        <w:tabs>
          <w:tab w:val="left" w:pos="1000"/>
          <w:tab w:val="left" w:pos="2552"/>
        </w:tabs>
        <w:jc w:val="both"/>
      </w:pPr>
    </w:p>
    <w:p w:rsidR="007D0AA9" w:rsidRDefault="007D0AA9" w:rsidP="007D0AA9">
      <w:pPr>
        <w:tabs>
          <w:tab w:val="left" w:pos="1000"/>
          <w:tab w:val="left" w:pos="2552"/>
        </w:tabs>
        <w:jc w:val="both"/>
      </w:pPr>
      <w:r w:rsidRPr="001E33E2">
        <w:t>Глав</w:t>
      </w:r>
      <w:r>
        <w:t xml:space="preserve">а </w:t>
      </w:r>
      <w:proofErr w:type="gramStart"/>
      <w:r>
        <w:t>сельского</w:t>
      </w:r>
      <w:proofErr w:type="gramEnd"/>
    </w:p>
    <w:p w:rsidR="007D0AA9" w:rsidRPr="001E33E2" w:rsidRDefault="007D0AA9" w:rsidP="007D0AA9">
      <w:pPr>
        <w:tabs>
          <w:tab w:val="left" w:pos="1000"/>
          <w:tab w:val="left" w:pos="2552"/>
        </w:tabs>
        <w:jc w:val="both"/>
      </w:pPr>
      <w:r>
        <w:t xml:space="preserve">поселения Заволжье                                                                  </w:t>
      </w:r>
      <w:r w:rsidR="00C96AEA">
        <w:t xml:space="preserve">                </w:t>
      </w:r>
      <w:r>
        <w:t xml:space="preserve">  </w:t>
      </w:r>
      <w:r w:rsidRPr="001E33E2">
        <w:t>А.И.</w:t>
      </w:r>
      <w:r>
        <w:t xml:space="preserve"> Подопригора</w:t>
      </w:r>
    </w:p>
    <w:p w:rsidR="007D0AA9" w:rsidRDefault="007D0AA9" w:rsidP="007D0AA9">
      <w:pPr>
        <w:tabs>
          <w:tab w:val="left" w:pos="1000"/>
          <w:tab w:val="left" w:pos="2552"/>
        </w:tabs>
        <w:jc w:val="both"/>
      </w:pPr>
    </w:p>
    <w:p w:rsidR="007D0AA9" w:rsidRDefault="007D0AA9" w:rsidP="007D0AA9">
      <w:pPr>
        <w:tabs>
          <w:tab w:val="left" w:pos="1000"/>
          <w:tab w:val="left" w:pos="2552"/>
        </w:tabs>
        <w:jc w:val="both"/>
      </w:pPr>
    </w:p>
    <w:p w:rsidR="007D0AA9" w:rsidRPr="00F00085" w:rsidRDefault="007D0AA9" w:rsidP="007D0AA9">
      <w:pPr>
        <w:tabs>
          <w:tab w:val="left" w:pos="1000"/>
          <w:tab w:val="left" w:pos="2552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Приложение</w:t>
      </w:r>
    </w:p>
    <w:p w:rsidR="007D0AA9" w:rsidRPr="00F00085" w:rsidRDefault="007D0AA9" w:rsidP="007D0AA9">
      <w:pPr>
        <w:tabs>
          <w:tab w:val="left" w:pos="1000"/>
          <w:tab w:val="left" w:pos="2552"/>
        </w:tabs>
        <w:jc w:val="right"/>
        <w:rPr>
          <w:i/>
          <w:sz w:val="18"/>
          <w:szCs w:val="18"/>
        </w:rPr>
      </w:pPr>
      <w:r w:rsidRPr="00F00085">
        <w:rPr>
          <w:i/>
          <w:sz w:val="18"/>
          <w:szCs w:val="18"/>
        </w:rPr>
        <w:t>УТВЕРЖДЕНО:</w:t>
      </w:r>
    </w:p>
    <w:p w:rsidR="007D0AA9" w:rsidRPr="00F00085" w:rsidRDefault="007D0AA9" w:rsidP="007D0AA9">
      <w:pPr>
        <w:tabs>
          <w:tab w:val="left" w:pos="1000"/>
          <w:tab w:val="left" w:pos="2552"/>
        </w:tabs>
        <w:jc w:val="right"/>
        <w:rPr>
          <w:i/>
          <w:sz w:val="18"/>
          <w:szCs w:val="18"/>
        </w:rPr>
      </w:pPr>
      <w:r w:rsidRPr="00F00085">
        <w:rPr>
          <w:i/>
          <w:sz w:val="18"/>
          <w:szCs w:val="18"/>
        </w:rPr>
        <w:t>постановлением Администрации</w:t>
      </w:r>
    </w:p>
    <w:p w:rsidR="007D0AA9" w:rsidRPr="00F00085" w:rsidRDefault="007D0AA9" w:rsidP="007D0AA9">
      <w:pPr>
        <w:tabs>
          <w:tab w:val="left" w:pos="1000"/>
          <w:tab w:val="left" w:pos="2552"/>
        </w:tabs>
        <w:jc w:val="right"/>
        <w:rPr>
          <w:i/>
          <w:sz w:val="18"/>
          <w:szCs w:val="18"/>
        </w:rPr>
      </w:pPr>
      <w:r w:rsidRPr="00F00085">
        <w:rPr>
          <w:i/>
          <w:sz w:val="18"/>
          <w:szCs w:val="18"/>
        </w:rPr>
        <w:t xml:space="preserve">сельского поселения </w:t>
      </w:r>
      <w:r>
        <w:rPr>
          <w:i/>
          <w:sz w:val="18"/>
          <w:szCs w:val="18"/>
        </w:rPr>
        <w:t>Заволжье</w:t>
      </w:r>
    </w:p>
    <w:p w:rsidR="007D0AA9" w:rsidRPr="00F00085" w:rsidRDefault="007D0AA9" w:rsidP="007D0AA9">
      <w:pPr>
        <w:tabs>
          <w:tab w:val="left" w:pos="1000"/>
          <w:tab w:val="left" w:pos="2552"/>
        </w:tabs>
        <w:jc w:val="right"/>
        <w:rPr>
          <w:i/>
          <w:sz w:val="18"/>
          <w:szCs w:val="18"/>
        </w:rPr>
      </w:pPr>
      <w:r w:rsidRPr="00F00085">
        <w:rPr>
          <w:i/>
          <w:sz w:val="18"/>
          <w:szCs w:val="18"/>
        </w:rPr>
        <w:t xml:space="preserve">муниципального района </w:t>
      </w:r>
      <w:proofErr w:type="gramStart"/>
      <w:r w:rsidRPr="00F00085">
        <w:rPr>
          <w:i/>
          <w:sz w:val="18"/>
          <w:szCs w:val="18"/>
        </w:rPr>
        <w:t>Приволжский</w:t>
      </w:r>
      <w:proofErr w:type="gramEnd"/>
    </w:p>
    <w:p w:rsidR="007D0AA9" w:rsidRPr="00B9361D" w:rsidRDefault="007D0AA9" w:rsidP="007D0AA9">
      <w:pPr>
        <w:tabs>
          <w:tab w:val="left" w:pos="1000"/>
          <w:tab w:val="left" w:pos="2552"/>
        </w:tabs>
        <w:jc w:val="right"/>
        <w:rPr>
          <w:i/>
          <w:sz w:val="18"/>
          <w:szCs w:val="18"/>
        </w:rPr>
      </w:pPr>
      <w:r w:rsidRPr="00F00085">
        <w:rPr>
          <w:i/>
          <w:sz w:val="18"/>
          <w:szCs w:val="18"/>
        </w:rPr>
        <w:t xml:space="preserve">Самарской области от </w:t>
      </w:r>
      <w:r>
        <w:rPr>
          <w:i/>
          <w:sz w:val="18"/>
          <w:szCs w:val="18"/>
        </w:rPr>
        <w:t>22.02</w:t>
      </w:r>
      <w:r w:rsidRPr="00F00085">
        <w:rPr>
          <w:i/>
          <w:sz w:val="18"/>
          <w:szCs w:val="18"/>
        </w:rPr>
        <w:t xml:space="preserve">.2023 г. № </w:t>
      </w:r>
      <w:r>
        <w:rPr>
          <w:i/>
          <w:sz w:val="18"/>
          <w:szCs w:val="18"/>
        </w:rPr>
        <w:t>17</w:t>
      </w:r>
      <w:r>
        <w:tab/>
      </w:r>
    </w:p>
    <w:p w:rsidR="007D0AA9" w:rsidRDefault="007D0AA9" w:rsidP="007D0AA9">
      <w:pPr>
        <w:pStyle w:val="ConsPlusNormal"/>
        <w:jc w:val="both"/>
      </w:pPr>
    </w:p>
    <w:p w:rsidR="007D0AA9" w:rsidRPr="003B73FE" w:rsidRDefault="007D0AA9" w:rsidP="007D0A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Исходное значение</w:t>
      </w:r>
    </w:p>
    <w:p w:rsidR="007D0AA9" w:rsidRPr="003B73FE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73FE">
        <w:rPr>
          <w:rFonts w:ascii="Times New Roman" w:hAnsi="Times New Roman" w:cs="Times New Roman"/>
          <w:sz w:val="24"/>
          <w:szCs w:val="24"/>
        </w:rPr>
        <w:t>размера вр</w:t>
      </w:r>
      <w:r>
        <w:rPr>
          <w:rFonts w:ascii="Times New Roman" w:hAnsi="Times New Roman" w:cs="Times New Roman"/>
          <w:sz w:val="24"/>
          <w:szCs w:val="24"/>
        </w:rPr>
        <w:t xml:space="preserve">еда, причиняемого транспортными </w:t>
      </w:r>
      <w:r w:rsidRPr="003B73FE">
        <w:rPr>
          <w:rFonts w:ascii="Times New Roman" w:hAnsi="Times New Roman" w:cs="Times New Roman"/>
          <w:sz w:val="24"/>
          <w:szCs w:val="24"/>
        </w:rPr>
        <w:t>средствами, при превыш</w:t>
      </w:r>
      <w:r>
        <w:rPr>
          <w:rFonts w:ascii="Times New Roman" w:hAnsi="Times New Roman" w:cs="Times New Roman"/>
          <w:sz w:val="24"/>
          <w:szCs w:val="24"/>
        </w:rPr>
        <w:t xml:space="preserve">ении допустимых осевых нагрузок </w:t>
      </w:r>
      <w:r w:rsidRPr="003B73FE">
        <w:rPr>
          <w:rFonts w:ascii="Times New Roman" w:hAnsi="Times New Roman" w:cs="Times New Roman"/>
          <w:sz w:val="24"/>
          <w:szCs w:val="24"/>
        </w:rPr>
        <w:t>для автомобильной дороги на 5 процентов и постоянные</w:t>
      </w:r>
      <w:proofErr w:type="gramEnd"/>
    </w:p>
    <w:p w:rsidR="007D0AA9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коэффициенты для автомобильных дорог общего пользовани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37F2C">
        <w:rPr>
          <w:rFonts w:ascii="Times New Roman" w:hAnsi="Times New Roman" w:cs="Times New Roman"/>
          <w:sz w:val="24"/>
          <w:szCs w:val="24"/>
        </w:rPr>
        <w:t xml:space="preserve">местного значения сельского поселения </w:t>
      </w:r>
      <w:r w:rsidR="000C0415">
        <w:rPr>
          <w:rFonts w:ascii="Times New Roman" w:hAnsi="Times New Roman" w:cs="Times New Roman"/>
          <w:sz w:val="24"/>
          <w:szCs w:val="24"/>
        </w:rPr>
        <w:t>Заволжье</w:t>
      </w:r>
      <w:r w:rsidRPr="00937F2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937F2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7D0AA9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F2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D0AA9" w:rsidRPr="00EB1F2F" w:rsidRDefault="007D0AA9" w:rsidP="007D0AA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Таблица 1</w:t>
      </w:r>
    </w:p>
    <w:p w:rsidR="007D0AA9" w:rsidRPr="00EB1F2F" w:rsidRDefault="007D0AA9" w:rsidP="007D0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457"/>
        <w:gridCol w:w="2280"/>
        <w:gridCol w:w="1700"/>
      </w:tblGrid>
      <w:tr w:rsidR="007D0AA9" w:rsidRPr="00EB1F2F" w:rsidTr="007D2960"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1F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исх</w:t>
            </w:r>
            <w:proofErr w:type="spellEnd"/>
            <w:r w:rsidRPr="00EB1F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7D0AA9" w:rsidRPr="00EB1F2F" w:rsidTr="007D2960"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2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7D0AA9" w:rsidRDefault="007D0AA9" w:rsidP="007D0AA9">
      <w:pPr>
        <w:pStyle w:val="ConsPlusNormal"/>
        <w:jc w:val="both"/>
      </w:pPr>
    </w:p>
    <w:p w:rsidR="007D0AA9" w:rsidRDefault="007D0AA9" w:rsidP="007D0A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0AA9" w:rsidRPr="00EB1F2F" w:rsidRDefault="007D0AA9" w:rsidP="007D0A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Показатели</w:t>
      </w:r>
    </w:p>
    <w:p w:rsidR="007D0AA9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размера вреда, причиня</w:t>
      </w:r>
      <w:r>
        <w:rPr>
          <w:rFonts w:ascii="Times New Roman" w:hAnsi="Times New Roman" w:cs="Times New Roman"/>
          <w:sz w:val="24"/>
          <w:szCs w:val="24"/>
        </w:rPr>
        <w:t xml:space="preserve">емого транспортными средствами, </w:t>
      </w:r>
      <w:r w:rsidRPr="00EB1F2F">
        <w:rPr>
          <w:rFonts w:ascii="Times New Roman" w:hAnsi="Times New Roman" w:cs="Times New Roman"/>
          <w:sz w:val="24"/>
          <w:szCs w:val="24"/>
        </w:rPr>
        <w:t>осуществляющими перевозки тя</w:t>
      </w:r>
      <w:r>
        <w:rPr>
          <w:rFonts w:ascii="Times New Roman" w:hAnsi="Times New Roman" w:cs="Times New Roman"/>
          <w:sz w:val="24"/>
          <w:szCs w:val="24"/>
        </w:rPr>
        <w:t xml:space="preserve">желовесных грузов, при движении </w:t>
      </w:r>
      <w:r w:rsidRPr="00EB1F2F">
        <w:rPr>
          <w:rFonts w:ascii="Times New Roman" w:hAnsi="Times New Roman" w:cs="Times New Roman"/>
          <w:sz w:val="24"/>
          <w:szCs w:val="24"/>
        </w:rPr>
        <w:t xml:space="preserve">таких транспортных средств </w:t>
      </w:r>
    </w:p>
    <w:p w:rsidR="007D0AA9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автомобильным дорогам общего </w:t>
      </w:r>
      <w:r w:rsidRPr="00EB1F2F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сельского поселения </w:t>
      </w:r>
      <w:r w:rsidR="000C0415">
        <w:rPr>
          <w:rFonts w:ascii="Times New Roman" w:hAnsi="Times New Roman" w:cs="Times New Roman"/>
          <w:sz w:val="24"/>
          <w:szCs w:val="24"/>
        </w:rPr>
        <w:t>Заволжье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D0AA9" w:rsidRDefault="007D0AA9" w:rsidP="007D0AA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0AA9" w:rsidRDefault="007D0AA9" w:rsidP="007D0AA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0AA9" w:rsidRPr="00EB1F2F" w:rsidRDefault="007D0AA9" w:rsidP="007D0AA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D0AA9" w:rsidRPr="00EB1F2F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Размер</w:t>
      </w:r>
    </w:p>
    <w:p w:rsidR="007D0AA9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вреда, причиня</w:t>
      </w:r>
      <w:r>
        <w:rPr>
          <w:rFonts w:ascii="Times New Roman" w:hAnsi="Times New Roman" w:cs="Times New Roman"/>
          <w:sz w:val="24"/>
          <w:szCs w:val="24"/>
        </w:rPr>
        <w:t xml:space="preserve">емого транспортными средствами, </w:t>
      </w:r>
    </w:p>
    <w:p w:rsidR="007D0AA9" w:rsidRPr="00EB1F2F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F2F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EB1F2F">
        <w:rPr>
          <w:rFonts w:ascii="Times New Roman" w:hAnsi="Times New Roman" w:cs="Times New Roman"/>
          <w:sz w:val="24"/>
          <w:szCs w:val="24"/>
        </w:rPr>
        <w:t xml:space="preserve"> перевозки тя</w:t>
      </w:r>
      <w:r>
        <w:rPr>
          <w:rFonts w:ascii="Times New Roman" w:hAnsi="Times New Roman" w:cs="Times New Roman"/>
          <w:sz w:val="24"/>
          <w:szCs w:val="24"/>
        </w:rPr>
        <w:t xml:space="preserve">желовесных грузов, при движении </w:t>
      </w:r>
      <w:r w:rsidRPr="00EB1F2F">
        <w:rPr>
          <w:rFonts w:ascii="Times New Roman" w:hAnsi="Times New Roman" w:cs="Times New Roman"/>
          <w:sz w:val="24"/>
          <w:szCs w:val="24"/>
        </w:rPr>
        <w:t xml:space="preserve">таких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 автомобильным дорогам общего пользования местного значения сельского поселения </w:t>
      </w:r>
      <w:r w:rsidR="000C0415">
        <w:rPr>
          <w:rFonts w:ascii="Times New Roman" w:hAnsi="Times New Roman" w:cs="Times New Roman"/>
          <w:sz w:val="24"/>
          <w:szCs w:val="24"/>
        </w:rPr>
        <w:t>Заволжье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Pr="00EB1F2F">
        <w:rPr>
          <w:rFonts w:ascii="Times New Roman" w:hAnsi="Times New Roman" w:cs="Times New Roman"/>
          <w:sz w:val="24"/>
          <w:szCs w:val="24"/>
        </w:rPr>
        <w:t>, рассчита</w:t>
      </w:r>
      <w:r>
        <w:rPr>
          <w:rFonts w:ascii="Times New Roman" w:hAnsi="Times New Roman" w:cs="Times New Roman"/>
          <w:sz w:val="24"/>
          <w:szCs w:val="24"/>
        </w:rPr>
        <w:t xml:space="preserve">нным на нормативную (расчетную) </w:t>
      </w:r>
      <w:r w:rsidRPr="00EB1F2F">
        <w:rPr>
          <w:rFonts w:ascii="Times New Roman" w:hAnsi="Times New Roman" w:cs="Times New Roman"/>
          <w:sz w:val="24"/>
          <w:szCs w:val="24"/>
        </w:rPr>
        <w:t>осевую нагруз</w:t>
      </w:r>
      <w:r>
        <w:rPr>
          <w:rFonts w:ascii="Times New Roman" w:hAnsi="Times New Roman" w:cs="Times New Roman"/>
          <w:sz w:val="24"/>
          <w:szCs w:val="24"/>
        </w:rPr>
        <w:t xml:space="preserve">ку до 10 тонн/ось включительно, </w:t>
      </w:r>
      <w:r w:rsidRPr="00EB1F2F">
        <w:rPr>
          <w:rFonts w:ascii="Times New Roman" w:hAnsi="Times New Roman" w:cs="Times New Roman"/>
          <w:sz w:val="24"/>
          <w:szCs w:val="24"/>
        </w:rPr>
        <w:t>вследствие превыш</w:t>
      </w:r>
      <w:r>
        <w:rPr>
          <w:rFonts w:ascii="Times New Roman" w:hAnsi="Times New Roman" w:cs="Times New Roman"/>
          <w:sz w:val="24"/>
          <w:szCs w:val="24"/>
        </w:rPr>
        <w:t xml:space="preserve">ения допустимых осевых нагрузок </w:t>
      </w:r>
      <w:r w:rsidRPr="00EB1F2F">
        <w:rPr>
          <w:rFonts w:ascii="Times New Roman" w:hAnsi="Times New Roman" w:cs="Times New Roman"/>
          <w:sz w:val="24"/>
          <w:szCs w:val="24"/>
        </w:rPr>
        <w:t>на каждую ось транспортного средства</w:t>
      </w:r>
    </w:p>
    <w:p w:rsidR="007D0AA9" w:rsidRDefault="007D0AA9" w:rsidP="007D0AA9">
      <w:pPr>
        <w:tabs>
          <w:tab w:val="left" w:pos="190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649"/>
      </w:tblGrid>
      <w:tr w:rsidR="007D0AA9" w:rsidTr="007D2960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Размер вреда (рублей на 100 км)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lastRenderedPageBreak/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1288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1344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1404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1469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1539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1614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1694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1778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1867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1961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2059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2162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2270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2382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24 (включительно) до 25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2499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25 (включительно) до 26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2620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2746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2876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3011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3150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3294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3443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3595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3753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3914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4081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36 (включительно) до 37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4251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4426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4606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4789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40 (включительно) до 41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4978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5170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5367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lastRenderedPageBreak/>
              <w:t>от 43 (включительно) до 44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5569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5774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5984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6199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6417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6640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6868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50 (включительно) до 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7099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51 (включительно) до 52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7335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7576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7820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8069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8322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8579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8841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9107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9377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60 (включительно) и выше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 xml:space="preserve">рассчитывается по формулам, приведенным в </w:t>
            </w:r>
            <w:hyperlink r:id="rId6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      <w:r w:rsidRPr="009A615A">
                <w:rPr>
                  <w:rFonts w:ascii="Times New Roman" w:hAnsi="Times New Roman" w:cs="Times New Roman"/>
                  <w:szCs w:val="20"/>
                </w:rPr>
                <w:t>методике</w:t>
              </w:r>
            </w:hyperlink>
            <w:r w:rsidRPr="00EB1F2F">
              <w:rPr>
                <w:rFonts w:ascii="Times New Roman" w:hAnsi="Times New Roman" w:cs="Times New Roman"/>
                <w:szCs w:val="20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7D0AA9" w:rsidRDefault="007D0AA9" w:rsidP="007D0AA9">
      <w:pPr>
        <w:pStyle w:val="ConsPlusNormal"/>
        <w:jc w:val="both"/>
      </w:pPr>
    </w:p>
    <w:p w:rsidR="007D0AA9" w:rsidRPr="00EB1F2F" w:rsidRDefault="007D0AA9" w:rsidP="007D0AA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Таблица 3</w:t>
      </w:r>
    </w:p>
    <w:p w:rsidR="007D0AA9" w:rsidRPr="00EB1F2F" w:rsidRDefault="007D0AA9" w:rsidP="007D0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AA9" w:rsidRPr="00EB1F2F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Размер</w:t>
      </w:r>
    </w:p>
    <w:p w:rsidR="007D0AA9" w:rsidRPr="00EB1F2F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F2F">
        <w:rPr>
          <w:rFonts w:ascii="Times New Roman" w:hAnsi="Times New Roman" w:cs="Times New Roman"/>
          <w:sz w:val="24"/>
          <w:szCs w:val="24"/>
        </w:rPr>
        <w:t>вреда, причиня</w:t>
      </w:r>
      <w:r>
        <w:rPr>
          <w:rFonts w:ascii="Times New Roman" w:hAnsi="Times New Roman" w:cs="Times New Roman"/>
          <w:sz w:val="24"/>
          <w:szCs w:val="24"/>
        </w:rPr>
        <w:t xml:space="preserve">емого транспортными средствами, </w:t>
      </w:r>
      <w:r w:rsidRPr="00EB1F2F">
        <w:rPr>
          <w:rFonts w:ascii="Times New Roman" w:hAnsi="Times New Roman" w:cs="Times New Roman"/>
          <w:sz w:val="24"/>
          <w:szCs w:val="24"/>
        </w:rPr>
        <w:t>осуществляющими перевозки тя</w:t>
      </w:r>
      <w:r>
        <w:rPr>
          <w:rFonts w:ascii="Times New Roman" w:hAnsi="Times New Roman" w:cs="Times New Roman"/>
          <w:sz w:val="24"/>
          <w:szCs w:val="24"/>
        </w:rPr>
        <w:t xml:space="preserve">желовесных грузов, при движении </w:t>
      </w:r>
      <w:r w:rsidRPr="00EB1F2F">
        <w:rPr>
          <w:rFonts w:ascii="Times New Roman" w:hAnsi="Times New Roman" w:cs="Times New Roman"/>
          <w:sz w:val="24"/>
          <w:szCs w:val="24"/>
        </w:rPr>
        <w:t xml:space="preserve">таких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 автомобильным дорогам общего пользования местного значения сельского поселения </w:t>
      </w:r>
      <w:r w:rsidR="000C0415">
        <w:rPr>
          <w:rFonts w:ascii="Times New Roman" w:hAnsi="Times New Roman" w:cs="Times New Roman"/>
          <w:sz w:val="24"/>
          <w:szCs w:val="24"/>
        </w:rPr>
        <w:t>Заволжье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Pr="00EB1F2F">
        <w:rPr>
          <w:rFonts w:ascii="Times New Roman" w:hAnsi="Times New Roman" w:cs="Times New Roman"/>
          <w:sz w:val="24"/>
          <w:szCs w:val="24"/>
        </w:rPr>
        <w:t>, рассчита</w:t>
      </w:r>
      <w:r>
        <w:rPr>
          <w:rFonts w:ascii="Times New Roman" w:hAnsi="Times New Roman" w:cs="Times New Roman"/>
          <w:sz w:val="24"/>
          <w:szCs w:val="24"/>
        </w:rPr>
        <w:t xml:space="preserve">нным на нормативную (расчетную) </w:t>
      </w:r>
      <w:r w:rsidRPr="00EB1F2F">
        <w:rPr>
          <w:rFonts w:ascii="Times New Roman" w:hAnsi="Times New Roman" w:cs="Times New Roman"/>
          <w:sz w:val="24"/>
          <w:szCs w:val="24"/>
        </w:rPr>
        <w:t>осевую нагрузку 11,5 тонн/ось, вследствие превышения</w:t>
      </w:r>
      <w:proofErr w:type="gramEnd"/>
    </w:p>
    <w:p w:rsidR="007D0AA9" w:rsidRPr="00EB1F2F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допустимы</w:t>
      </w:r>
      <w:r>
        <w:rPr>
          <w:rFonts w:ascii="Times New Roman" w:hAnsi="Times New Roman" w:cs="Times New Roman"/>
          <w:sz w:val="24"/>
          <w:szCs w:val="24"/>
        </w:rPr>
        <w:t xml:space="preserve">х осевых нагрузок на каждую ось </w:t>
      </w:r>
      <w:r w:rsidRPr="00EB1F2F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7D0AA9" w:rsidRPr="00EB1F2F" w:rsidRDefault="007D0AA9" w:rsidP="007D0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762"/>
      </w:tblGrid>
      <w:tr w:rsidR="007D0AA9" w:rsidTr="007D2960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Размер вреда (рублей на 100 км)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550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568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lastRenderedPageBreak/>
              <w:t>от 12 (включительно) до 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587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608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631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655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680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707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736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766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797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830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865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900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938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977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1017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1059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1102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1147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1193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1240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1289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1339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1391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1444</w:t>
            </w:r>
          </w:p>
        </w:tc>
      </w:tr>
      <w:tr w:rsidR="007D0AA9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1499</w:t>
            </w:r>
          </w:p>
        </w:tc>
      </w:tr>
    </w:tbl>
    <w:p w:rsidR="007D0AA9" w:rsidRDefault="007D0AA9" w:rsidP="007D0AA9">
      <w:bookmarkStart w:id="0" w:name="_GoBack"/>
      <w:bookmarkEnd w:id="0"/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762"/>
      </w:tblGrid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1555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1613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1671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1732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1793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1856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1921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lastRenderedPageBreak/>
              <w:t>от 44 (включительно) до 45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1987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2054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2123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2193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2264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2337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2411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2487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2564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2642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2722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2803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2885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2969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3054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3140</w:t>
            </w:r>
          </w:p>
        </w:tc>
      </w:tr>
      <w:tr w:rsidR="007D0AA9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 xml:space="preserve">рассчитывается по формулам, приведенным в </w:t>
            </w:r>
            <w:hyperlink r:id="rId7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      <w:r w:rsidRPr="009A615A">
                <w:rPr>
                  <w:rFonts w:ascii="Times New Roman" w:hAnsi="Times New Roman" w:cs="Times New Roman"/>
                  <w:szCs w:val="20"/>
                </w:rPr>
                <w:t>методике</w:t>
              </w:r>
            </w:hyperlink>
            <w:r w:rsidRPr="00EB1F2F">
              <w:rPr>
                <w:rFonts w:ascii="Times New Roman" w:hAnsi="Times New Roman" w:cs="Times New Roman"/>
                <w:szCs w:val="20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7D0AA9" w:rsidRDefault="007D0AA9" w:rsidP="007D0AA9">
      <w:pPr>
        <w:pStyle w:val="ConsPlusNormal"/>
        <w:jc w:val="both"/>
      </w:pPr>
    </w:p>
    <w:p w:rsidR="007D0AA9" w:rsidRPr="00B9361D" w:rsidRDefault="007D0AA9" w:rsidP="007D0AA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D0AA9" w:rsidRPr="00EB1F2F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Размер</w:t>
      </w:r>
    </w:p>
    <w:p w:rsidR="007D0AA9" w:rsidRPr="00EB1F2F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вреда, причиняемого транспортными средствами,</w:t>
      </w:r>
    </w:p>
    <w:p w:rsidR="007D0AA9" w:rsidRPr="00EB1F2F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F2F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EB1F2F">
        <w:rPr>
          <w:rFonts w:ascii="Times New Roman" w:hAnsi="Times New Roman" w:cs="Times New Roman"/>
          <w:sz w:val="24"/>
          <w:szCs w:val="24"/>
        </w:rPr>
        <w:t xml:space="preserve"> перевозки тя</w:t>
      </w:r>
      <w:r>
        <w:rPr>
          <w:rFonts w:ascii="Times New Roman" w:hAnsi="Times New Roman" w:cs="Times New Roman"/>
          <w:sz w:val="24"/>
          <w:szCs w:val="24"/>
        </w:rPr>
        <w:t xml:space="preserve">желовесных грузов, при движении </w:t>
      </w:r>
      <w:r w:rsidRPr="00EB1F2F">
        <w:rPr>
          <w:rFonts w:ascii="Times New Roman" w:hAnsi="Times New Roman" w:cs="Times New Roman"/>
          <w:sz w:val="24"/>
          <w:szCs w:val="24"/>
        </w:rPr>
        <w:t xml:space="preserve">таких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 автомобильным дорогам общего пользования местного значения сельского поселения </w:t>
      </w:r>
      <w:r w:rsidR="000C0415">
        <w:rPr>
          <w:rFonts w:ascii="Times New Roman" w:hAnsi="Times New Roman" w:cs="Times New Roman"/>
          <w:sz w:val="24"/>
          <w:szCs w:val="24"/>
        </w:rPr>
        <w:t>Заволжье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Pr="00EB1F2F">
        <w:rPr>
          <w:rFonts w:ascii="Times New Roman" w:hAnsi="Times New Roman" w:cs="Times New Roman"/>
          <w:sz w:val="24"/>
          <w:szCs w:val="24"/>
        </w:rPr>
        <w:t xml:space="preserve"> вследствие превышения допустимой</w:t>
      </w:r>
    </w:p>
    <w:p w:rsidR="007D0AA9" w:rsidRPr="00EB1F2F" w:rsidRDefault="007D0AA9" w:rsidP="007D0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F2F">
        <w:rPr>
          <w:rFonts w:ascii="Times New Roman" w:hAnsi="Times New Roman" w:cs="Times New Roman"/>
          <w:sz w:val="24"/>
          <w:szCs w:val="24"/>
        </w:rPr>
        <w:t>массы транспортного средства</w:t>
      </w:r>
    </w:p>
    <w:p w:rsidR="007D0AA9" w:rsidRPr="00EB1F2F" w:rsidRDefault="007D0AA9" w:rsidP="007D0AA9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762"/>
      </w:tblGrid>
      <w:tr w:rsidR="007D0AA9" w:rsidRPr="00EB1F2F" w:rsidTr="007D2960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Размер вреда (рублей на 100 км)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4025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4082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4140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4198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4256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lastRenderedPageBreak/>
              <w:t>от 15 (включительно) до 16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4313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4371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4429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4487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4544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4602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4660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4718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4775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4833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4891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4949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5006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5064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5122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5180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5237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5295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5353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5411</w:t>
            </w:r>
          </w:p>
        </w:tc>
      </w:tr>
      <w:tr w:rsidR="007D0AA9" w:rsidRPr="00EB1F2F" w:rsidTr="007D296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5468</w:t>
            </w:r>
          </w:p>
        </w:tc>
      </w:tr>
    </w:tbl>
    <w:p w:rsidR="007D0AA9" w:rsidRDefault="007D0AA9" w:rsidP="007D0AA9"/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762"/>
      </w:tblGrid>
      <w:tr w:rsidR="007D0AA9" w:rsidRPr="00EB1F2F" w:rsidTr="007D2960">
        <w:trPr>
          <w:trHeight w:val="2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5526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5584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5642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5699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5757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5815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5873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5930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5988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6046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6104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lastRenderedPageBreak/>
              <w:t>от 47 (включительно) до 48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6161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6219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6277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6335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6392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6450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6508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6566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6623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6681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6739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6797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6854</w:t>
            </w:r>
          </w:p>
        </w:tc>
      </w:tr>
      <w:tr w:rsidR="007D0AA9" w:rsidRPr="00EB1F2F" w:rsidTr="007D296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D0AA9" w:rsidRPr="00EB1F2F" w:rsidRDefault="007D0AA9" w:rsidP="007D296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B1F2F">
              <w:rPr>
                <w:rFonts w:ascii="Times New Roman" w:hAnsi="Times New Roman" w:cs="Times New Roman"/>
                <w:szCs w:val="20"/>
              </w:rPr>
              <w:t xml:space="preserve">рассчитывается по формулам, приведенным в </w:t>
            </w:r>
            <w:hyperlink r:id="rId8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      <w:r w:rsidRPr="009A615A">
                <w:rPr>
                  <w:rFonts w:ascii="Times New Roman" w:hAnsi="Times New Roman" w:cs="Times New Roman"/>
                  <w:szCs w:val="20"/>
                </w:rPr>
                <w:t>методике</w:t>
              </w:r>
            </w:hyperlink>
            <w:r w:rsidRPr="00EB1F2F">
              <w:rPr>
                <w:rFonts w:ascii="Times New Roman" w:hAnsi="Times New Roman" w:cs="Times New Roman"/>
                <w:szCs w:val="20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7D0AA9" w:rsidRPr="000E460B" w:rsidRDefault="007D0AA9" w:rsidP="007D0AA9"/>
    <w:p w:rsidR="007D0AA9" w:rsidRPr="009311FF" w:rsidRDefault="007D0AA9" w:rsidP="005E3C57">
      <w:pPr>
        <w:jc w:val="both"/>
        <w:rPr>
          <w:rFonts w:eastAsia="Calibri"/>
          <w:b/>
          <w:sz w:val="28"/>
          <w:szCs w:val="28"/>
          <w:lang w:eastAsia="en-US"/>
        </w:rPr>
      </w:pPr>
    </w:p>
    <w:sectPr w:rsidR="007D0AA9" w:rsidRPr="009311FF" w:rsidSect="0026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F67"/>
    <w:rsid w:val="0000356F"/>
    <w:rsid w:val="000162B5"/>
    <w:rsid w:val="00056F67"/>
    <w:rsid w:val="000C0415"/>
    <w:rsid w:val="00194CFB"/>
    <w:rsid w:val="001A0DA4"/>
    <w:rsid w:val="00261797"/>
    <w:rsid w:val="003E235F"/>
    <w:rsid w:val="00456363"/>
    <w:rsid w:val="005D2E8C"/>
    <w:rsid w:val="005E3C57"/>
    <w:rsid w:val="006A74E4"/>
    <w:rsid w:val="00782F82"/>
    <w:rsid w:val="007D0AA9"/>
    <w:rsid w:val="007E7734"/>
    <w:rsid w:val="009311FF"/>
    <w:rsid w:val="00B473C4"/>
    <w:rsid w:val="00C00990"/>
    <w:rsid w:val="00C21FA1"/>
    <w:rsid w:val="00C96AEA"/>
    <w:rsid w:val="00CA619B"/>
    <w:rsid w:val="00F80EDC"/>
    <w:rsid w:val="00FC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C57"/>
    <w:pPr>
      <w:ind w:left="720"/>
      <w:contextualSpacing/>
    </w:pPr>
  </w:style>
  <w:style w:type="character" w:customStyle="1" w:styleId="b-message-headfield-value">
    <w:name w:val="b-message-head__field-value"/>
    <w:basedOn w:val="a0"/>
    <w:uiPriority w:val="99"/>
    <w:rsid w:val="005E3C57"/>
  </w:style>
  <w:style w:type="paragraph" w:styleId="a5">
    <w:name w:val="Normal (Web)"/>
    <w:basedOn w:val="a"/>
    <w:uiPriority w:val="99"/>
    <w:unhideWhenUsed/>
    <w:rsid w:val="00782F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80E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6">
    <w:name w:val="Table Grid"/>
    <w:basedOn w:val="a1"/>
    <w:uiPriority w:val="39"/>
    <w:rsid w:val="00B4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47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DF2733D8DE899A415DEB4538D38F02FA7C8B320B5FD50C8E84483F57DD2FC404B83733E2FD9FF9018EDD8EA530238BAA771E5187478E8QAk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DF2733D8DE899A415DEB4538D38F02FA7C8B320B5FD50C8E84483F57DD2FC404B83733E2FD9FF9018EDD8EA530238BAA771E5187478E8QAk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8DF2733D8DE899A415DEB4538D38F02FA7C8B320B5FD50C8E84483F57DD2FC404B83733E2FD9FF9018EDD8EA530238BAA771E5187478E8QAk9H" TargetMode="External"/><Relationship Id="rId5" Type="http://schemas.openxmlformats.org/officeDocument/2006/relationships/hyperlink" Target="https://mail.yandex.ru/lite/compose?to=zavolzhie.pv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Бухгалтер</cp:lastModifiedBy>
  <cp:revision>19</cp:revision>
  <cp:lastPrinted>2023-05-05T11:18:00Z</cp:lastPrinted>
  <dcterms:created xsi:type="dcterms:W3CDTF">2021-03-23T05:54:00Z</dcterms:created>
  <dcterms:modified xsi:type="dcterms:W3CDTF">2023-05-05T11:21:00Z</dcterms:modified>
</cp:coreProperties>
</file>