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D42296" w:rsidRPr="009136DA" w:rsidRDefault="00D42296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DA" w:rsidRPr="009136DA" w:rsidRDefault="00D47C7B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 07</w:t>
      </w:r>
      <w:r w:rsidR="009111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 ноября 2017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 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9111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 76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111A2" w:rsidRDefault="009136DA" w:rsidP="00911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111A2" w:rsidRPr="0091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заявлений и выдача документов о согласовании </w:t>
      </w:r>
    </w:p>
    <w:p w:rsidR="009136DA" w:rsidRPr="00D42296" w:rsidRDefault="009111A2" w:rsidP="00911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переустройства и (или) перепла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ниров</w:t>
      </w:r>
      <w:r w:rsidRPr="0091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 жилого помещения</w:t>
      </w:r>
      <w:r w:rsidR="005D3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5D33B3" w:rsidP="006017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01746" w:rsidRPr="0060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и вы</w:t>
      </w:r>
      <w:r w:rsidR="0060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дача документов о согласовании </w:t>
      </w:r>
      <w:bookmarkStart w:id="0" w:name="_GoBack"/>
      <w:bookmarkEnd w:id="0"/>
      <w:r w:rsidR="00601746" w:rsidRPr="0060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переустройства и (или) перепланиро</w:t>
      </w:r>
      <w:r w:rsidR="00601746" w:rsidRPr="0060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01746" w:rsidRPr="0060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жилого помещения</w:t>
      </w:r>
      <w:r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D47C7B" w:rsidP="00D47C7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заявлений и 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дача документов о согласовании </w:t>
      </w:r>
      <w:r w:rsidRPr="00D47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переустройства и (или) перепланиро</w:t>
      </w:r>
      <w:r w:rsidRPr="00D47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47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жилого помещения</w:t>
      </w:r>
      <w:r w:rsidR="005D33B3"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официальном  сайте  администрации  Урывского сельского посел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Острогожского  муниципального  района в сети Интернет в разделе «Муниципальные усл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ги».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Pr="009136DA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Pr="009136DA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7775FB" w:rsidRDefault="009111A2" w:rsidP="00E66864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от 07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.11. 201</w:t>
      </w: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76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-р     </w:t>
      </w:r>
    </w:p>
    <w:p w:rsidR="009111A2" w:rsidRPr="009111A2" w:rsidRDefault="009111A2" w:rsidP="009111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1A2" w:rsidRPr="009111A2" w:rsidRDefault="009111A2" w:rsidP="009111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11A2">
        <w:rPr>
          <w:rFonts w:ascii="Times New Roman" w:eastAsia="Calibri" w:hAnsi="Times New Roman" w:cs="Times New Roman"/>
          <w:b/>
        </w:rPr>
        <w:t>ТЕХНОЛОГИЧЕСКАЯ СХЕМА</w:t>
      </w:r>
    </w:p>
    <w:p w:rsidR="009111A2" w:rsidRPr="009111A2" w:rsidRDefault="009111A2" w:rsidP="009111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11A2">
        <w:rPr>
          <w:rFonts w:ascii="Times New Roman" w:eastAsia="Calibri" w:hAnsi="Times New Roman" w:cs="Times New Roman"/>
          <w:b/>
        </w:rPr>
        <w:t>ПРЕДОСТАВЛЕНИЯ МУНИЦИПАЛЬНОЙ УСЛУГИ</w:t>
      </w:r>
    </w:p>
    <w:p w:rsidR="009111A2" w:rsidRPr="009111A2" w:rsidRDefault="009111A2" w:rsidP="009111A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</w:rPr>
      </w:pPr>
      <w:r w:rsidRPr="009111A2">
        <w:rPr>
          <w:rFonts w:ascii="Times New Roman" w:eastAsia="Times New Roman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111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1A2">
              <w:rPr>
                <w:rFonts w:ascii="Times New Roman" w:hAnsi="Times New Roman"/>
                <w:b/>
              </w:rPr>
              <w:t>п</w:t>
            </w:r>
            <w:proofErr w:type="gramEnd"/>
            <w:r w:rsidRPr="009111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111A2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111A2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111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111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111A2">
              <w:rPr>
                <w:rFonts w:ascii="Times New Roman" w:hAnsi="Times New Roman"/>
                <w:b/>
              </w:rPr>
              <w:t>3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Урывского сельского поселения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Номер услуги в федеральном реестре</w:t>
            </w:r>
            <w:r w:rsidRPr="009111A2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2" w:rsidRPr="009111A2" w:rsidRDefault="00BF5AE0" w:rsidP="009111A2">
            <w:pPr>
              <w:ind w:left="-102" w:right="-102"/>
              <w:rPr>
                <w:rFonts w:ascii="Times New Roman" w:hAnsi="Times New Roman"/>
              </w:rPr>
            </w:pPr>
            <w:r w:rsidRPr="00BF5AE0">
              <w:rPr>
                <w:rFonts w:ascii="Times New Roman" w:hAnsi="Times New Roman"/>
              </w:rPr>
              <w:t>3600000000161905341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autoSpaceDE w:val="0"/>
              <w:autoSpaceDN w:val="0"/>
              <w:adjustRightInd w:val="0"/>
              <w:ind w:left="-102" w:right="-102"/>
              <w:jc w:val="both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9111A2">
              <w:rPr>
                <w:rFonts w:ascii="Times New Roman" w:hAnsi="Times New Roman"/>
              </w:rPr>
              <w:t>в</w:t>
            </w:r>
            <w:r w:rsidRPr="009111A2">
              <w:rPr>
                <w:rFonts w:ascii="Times New Roman" w:hAnsi="Times New Roman"/>
              </w:rPr>
              <w:t>ки жилого помещения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9111A2">
              <w:rPr>
                <w:rFonts w:ascii="Times New Roman" w:hAnsi="Times New Roman"/>
              </w:rPr>
              <w:t>в</w:t>
            </w:r>
            <w:r w:rsidRPr="009111A2">
              <w:rPr>
                <w:rFonts w:ascii="Times New Roman" w:hAnsi="Times New Roman"/>
              </w:rPr>
              <w:t>ки жилого помещения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9111A2">
              <w:rPr>
                <w:rFonts w:ascii="Times New Roman" w:hAnsi="Times New Roman"/>
              </w:rPr>
              <w:t>и</w:t>
            </w:r>
            <w:r w:rsidRPr="009111A2">
              <w:rPr>
                <w:rFonts w:ascii="Times New Roman" w:hAnsi="Times New Roman"/>
              </w:rPr>
              <w:t>ципальной услуги</w:t>
            </w:r>
            <w:r w:rsidRPr="009111A2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</w:t>
            </w:r>
            <w:r w:rsidR="00D47C7B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 xml:space="preserve"> № 40  от 26.10.2017 г.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Перечень «</w:t>
            </w:r>
            <w:proofErr w:type="spellStart"/>
            <w:r w:rsidRPr="009111A2">
              <w:rPr>
                <w:rFonts w:ascii="Times New Roman" w:hAnsi="Times New Roman"/>
              </w:rPr>
              <w:t>подуслуг</w:t>
            </w:r>
            <w:proofErr w:type="spellEnd"/>
            <w:r w:rsidRPr="009111A2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9111A2">
              <w:rPr>
                <w:rFonts w:ascii="Times New Roman" w:hAnsi="Times New Roman"/>
              </w:rPr>
              <w:t>в</w:t>
            </w:r>
            <w:r w:rsidRPr="009111A2">
              <w:rPr>
                <w:rFonts w:ascii="Times New Roman" w:hAnsi="Times New Roman"/>
              </w:rPr>
              <w:t>ки жилого помещения</w:t>
            </w:r>
          </w:p>
        </w:tc>
      </w:tr>
      <w:tr w:rsidR="009111A2" w:rsidRPr="009111A2" w:rsidTr="00911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9111A2">
              <w:rPr>
                <w:rFonts w:ascii="Times New Roman" w:hAnsi="Times New Roman"/>
              </w:rPr>
              <w:t>и</w:t>
            </w:r>
            <w:r w:rsidRPr="009111A2">
              <w:rPr>
                <w:rFonts w:ascii="Times New Roman" w:hAnsi="Times New Roman"/>
              </w:rPr>
              <w:t>пальной услуги</w:t>
            </w:r>
            <w:r w:rsidRPr="009111A2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радиотелефонная связь;</w:t>
            </w:r>
          </w:p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терминальные устройства в МФЦ;</w:t>
            </w:r>
          </w:p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официальный сайт органа;</w:t>
            </w:r>
          </w:p>
          <w:p w:rsidR="009111A2" w:rsidRPr="009111A2" w:rsidRDefault="009111A2" w:rsidP="009111A2">
            <w:pPr>
              <w:ind w:left="-102" w:right="-102"/>
              <w:rPr>
                <w:rFonts w:ascii="Times New Roman" w:hAnsi="Times New Roman"/>
              </w:rPr>
            </w:pPr>
            <w:r w:rsidRPr="009111A2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9111A2" w:rsidRPr="009111A2" w:rsidRDefault="009111A2" w:rsidP="009111A2">
      <w:pPr>
        <w:rPr>
          <w:rFonts w:ascii="Times New Roman" w:eastAsia="Calibri" w:hAnsi="Times New Roman" w:cs="Times New Roman"/>
        </w:rPr>
      </w:pPr>
    </w:p>
    <w:p w:rsidR="009111A2" w:rsidRPr="009111A2" w:rsidRDefault="009111A2" w:rsidP="009111A2">
      <w:pPr>
        <w:rPr>
          <w:rFonts w:ascii="Times New Roman" w:eastAsia="Times New Roman" w:hAnsi="Times New Roman" w:cs="Times New Roman"/>
          <w:b/>
          <w:bCs/>
        </w:rPr>
      </w:pPr>
      <w:r w:rsidRPr="009111A2">
        <w:rPr>
          <w:rFonts w:ascii="Times New Roman" w:eastAsia="Calibri" w:hAnsi="Times New Roman" w:cs="Times New Roman"/>
        </w:rPr>
        <w:br w:type="page"/>
      </w:r>
    </w:p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9111A2" w:rsidRPr="009111A2" w:rsidTr="009111A2">
        <w:tc>
          <w:tcPr>
            <w:tcW w:w="2802" w:type="dxa"/>
            <w:gridSpan w:val="2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ставлении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пр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остано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ост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новл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пред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402" w:type="dxa"/>
            <w:gridSpan w:val="3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2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щения за 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лучением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результата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9111A2" w:rsidRPr="009111A2" w:rsidTr="009111A2">
        <w:tc>
          <w:tcPr>
            <w:tcW w:w="138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подаче заявления по месту жительства (месту нахожд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подаче заявления не по месту жительства 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зиты норм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тивного правов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го акта, явля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щегося основ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нием для взим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ны), в том чи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ле для МФЦ</w:t>
            </w:r>
          </w:p>
        </w:tc>
        <w:tc>
          <w:tcPr>
            <w:tcW w:w="1702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c>
          <w:tcPr>
            <w:tcW w:w="138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2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111A2" w:rsidRPr="009111A2" w:rsidTr="009111A2">
        <w:tc>
          <w:tcPr>
            <w:tcW w:w="15277" w:type="dxa"/>
            <w:gridSpan w:val="11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c>
          <w:tcPr>
            <w:tcW w:w="1384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45 кале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дарных дней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45 кале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дарных дней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Заявление подано 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цом, не упо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1) непредставление следующих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ментов: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заявление;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правоустанавл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вающие документы на переустраива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мое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помещение (по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линники или засв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детельствованные в нотариальном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рядке копии), если указанные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менты (их копии или сведения, 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держащиеся в них) отсутствуют в 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государстве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реестре прав на недвижимое им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щество и сделок с ним;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подготовленный и оформленный в установленном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рядке проект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и (или) перепланировки переустраиваемого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руемого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 (орг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низации, имеющие свидетельство о допуске к выполн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нию работ по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готовке проектов по переустройству и (или) переплан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ровке помещений, выдаваемое самор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гулируемыми орг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низациями в стро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тельной отрасли);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согласие в пис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менной форме всех членов семьи нан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мателя (в том числе временно отсу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ствующих членов семьи нанимателя), занимающих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устраиваемое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емое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щение на основ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договора соц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ального найма (в случае если заяв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телем является уполномоченный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наймодателем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на представление предусмотренных настоящим пунктом документов нан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матель переустра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репланируемого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 по договору соц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ального найма).</w:t>
            </w:r>
            <w:proofErr w:type="gramEnd"/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2) поступление в рамках межведо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ственного взаим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действия ответа на межведомственный запрос об отсу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ствии документа и (или) информации, необходимых для проведения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и (или)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перепланировки жилого помещения, если соответств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ющий документ не был представлен заявителем по со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ственной иници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тиве либо в течение пятнадцати рабочих дней со дня напра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ления заявителю уведомления о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лучении такого 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вета с предложен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ем о представлении документов и (или) информации, нео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ходимых для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ведения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устройства и (или) перепланировки жилого помещения;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3) представление документов в 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надлежащий орган;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4) несоответствие проекта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устройства и (или) перепланировки жилого помещения требованиям зак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нодательства.</w:t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—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702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 орган на б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мажном нос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теле;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посредством почтовой связи в орган;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в МФЦ на бумажном 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сителе;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через Портал государстве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и муниц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пальных услуг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Воронежской области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Единый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тал госуда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ственных и 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ниципальных услуг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орган на бумажном носителе;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посре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ством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товой связи в орган;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- в МФЦ на бумажном носителе;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через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тал госуда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ственных и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пальных услуг Вор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нежской области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Единый портал го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ударстве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и 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услуг</w:t>
            </w:r>
          </w:p>
        </w:tc>
      </w:tr>
    </w:tbl>
    <w:p w:rsidR="009111A2" w:rsidRPr="009111A2" w:rsidRDefault="009111A2" w:rsidP="009111A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  <w:br w:type="column"/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9111A2" w:rsidRPr="009111A2" w:rsidTr="009111A2">
        <w:trPr>
          <w:trHeight w:val="2287"/>
        </w:trPr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ющий прав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мочие заяв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теля соотве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ствующей 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тегории на получение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менту, подтвержд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ющему правомочие заявителя соотве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ствующей катег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рии на получение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ности 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дачи з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на пред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пре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ставит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лями з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ющий пер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чень лиц, имеющих право на 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дачу заявл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от имени заявителя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кумента, подтве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бования к документу, подтверждающему право подачи заявл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от имени заяв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теля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9111A2" w:rsidRPr="009111A2" w:rsidTr="009111A2">
        <w:trPr>
          <w:trHeight w:val="236"/>
        </w:trPr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111A2" w:rsidRPr="009111A2" w:rsidTr="009111A2">
        <w:trPr>
          <w:trHeight w:val="236"/>
        </w:trPr>
        <w:tc>
          <w:tcPr>
            <w:tcW w:w="15276" w:type="dxa"/>
            <w:gridSpan w:val="8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rPr>
          <w:trHeight w:val="1770"/>
        </w:trPr>
        <w:tc>
          <w:tcPr>
            <w:tcW w:w="534" w:type="dxa"/>
            <w:vMerge w:val="restart"/>
          </w:tcPr>
          <w:p w:rsidR="009111A2" w:rsidRPr="009111A2" w:rsidRDefault="009111A2" w:rsidP="009111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Физические лица, являющиеся собственниками жилых пом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щений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111A2" w:rsidRPr="009111A2" w:rsidRDefault="009111A2" w:rsidP="009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стоверяющий личность </w:t>
            </w:r>
          </w:p>
        </w:tc>
        <w:tc>
          <w:tcPr>
            <w:tcW w:w="2268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Должен быть изг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товлен на официал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бланке и соо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ветствовать устано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ния о паспорте гра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данина РФ.  Должен быть действител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ным на дату  обр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щения за предоста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лением услуги. Не должен содержать подчисток, приписок, зачеркнутых слов и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исправлений.</w:t>
            </w:r>
          </w:p>
        </w:tc>
        <w:tc>
          <w:tcPr>
            <w:tcW w:w="1276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1559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Лицо, над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ленное заяв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телем соо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ветствующ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ми полном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чиями в силу закона, дог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вора или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веренности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ряющий личность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числе Положения о паспорте гражданина РФ.  Должен быть де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ствительным на дату  обращения за пред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111A2" w:rsidRPr="009111A2" w:rsidTr="009111A2">
        <w:trPr>
          <w:trHeight w:val="885"/>
        </w:trPr>
        <w:tc>
          <w:tcPr>
            <w:tcW w:w="534" w:type="dxa"/>
            <w:vMerge/>
          </w:tcPr>
          <w:p w:rsidR="009111A2" w:rsidRPr="009111A2" w:rsidRDefault="009111A2" w:rsidP="009111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111A2" w:rsidRPr="009111A2" w:rsidRDefault="009111A2" w:rsidP="009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Доверенность должна быть выдана от имени заявителя и подписана им самим. Довере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ность может быть подписана также иным лицом, действующим по доверенности, если эти полномочия предусмотрены осно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веренность, в которой не указан срок ее де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ствия, действительна в течение одного года с момента ее выдачи)</w:t>
            </w:r>
          </w:p>
        </w:tc>
      </w:tr>
      <w:tr w:rsidR="009111A2" w:rsidRPr="009111A2" w:rsidTr="009111A2">
        <w:trPr>
          <w:trHeight w:val="885"/>
        </w:trPr>
        <w:tc>
          <w:tcPr>
            <w:tcW w:w="534" w:type="dxa"/>
            <w:vMerge/>
          </w:tcPr>
          <w:p w:rsidR="009111A2" w:rsidRPr="009111A2" w:rsidRDefault="009111A2" w:rsidP="009111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111A2" w:rsidRPr="009111A2" w:rsidRDefault="009111A2" w:rsidP="009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Иной документ,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тверждающий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номочия законного представителя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Должен быть действ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тельным на срок 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ращения за предоста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вреждений, наличие которых не позволяет однозначно истолк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вать их содержание</w:t>
            </w:r>
          </w:p>
        </w:tc>
      </w:tr>
      <w:tr w:rsidR="009111A2" w:rsidRPr="009111A2" w:rsidTr="009111A2">
        <w:trPr>
          <w:trHeight w:val="1268"/>
        </w:trPr>
        <w:tc>
          <w:tcPr>
            <w:tcW w:w="534" w:type="dxa"/>
            <w:vMerge w:val="restart"/>
          </w:tcPr>
          <w:p w:rsidR="009111A2" w:rsidRPr="009111A2" w:rsidRDefault="009111A2" w:rsidP="009111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Юридические лица, являющи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ся собственниками жилых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мещений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111A2" w:rsidRPr="009111A2" w:rsidRDefault="009111A2" w:rsidP="009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Документ,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тверждающий право лица без доверенности действовать от имени юрид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ческого лица (копия реш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ния о назнач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лица или его избрании)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Решение о назнач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лица или его 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брании должна быть заверена юридич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ским лицом, соде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жать подпись дол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ностного лица,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готовившего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мент, дату составл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ния документа; 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формацию о праве физического лица действовать от имени заявителя без дов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Лицо, де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ствующее от имени заяв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теля на осн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вании дов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ренности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ряющий личность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числе Положения о паспорте гражданина РФ.  Должен быть де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ствительным на дату  обращения за пред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111A2" w:rsidRPr="009111A2" w:rsidTr="009111A2">
        <w:trPr>
          <w:trHeight w:val="1267"/>
        </w:trPr>
        <w:tc>
          <w:tcPr>
            <w:tcW w:w="534" w:type="dxa"/>
            <w:vMerge/>
          </w:tcPr>
          <w:p w:rsidR="009111A2" w:rsidRPr="009111A2" w:rsidRDefault="009111A2" w:rsidP="009111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111A2" w:rsidRPr="009111A2" w:rsidRDefault="009111A2" w:rsidP="009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Документ, уд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стоверяющий личность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Должен быть изг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товлен на официал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бланке и соо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ветствовать устано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ния о паспорте гра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данина РФ.  Должен быть действител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ным на дату  обр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щения за предоста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Доверенность выдае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ся за подписью рук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водителя или иного лица, уполномоченн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го на это. Довере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ность может быть подписана также иным лицом, действующим по доверенности. 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веренность должна быть действующей на момент обращения (при этом необходимо иметь в виду, что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веренность, в которой не указан срок ее де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ствия, действительна в течение одного года с момента ее выдачи).</w:t>
            </w:r>
          </w:p>
        </w:tc>
      </w:tr>
    </w:tbl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  <w:br w:type="column"/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9111A2" w:rsidRPr="009111A2" w:rsidTr="009111A2">
        <w:trPr>
          <w:trHeight w:val="1865"/>
        </w:trPr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Катег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рия 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</w:t>
            </w:r>
          </w:p>
        </w:tc>
        <w:tc>
          <w:tcPr>
            <w:tcW w:w="411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которые представляет заявитель для получ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мых экзе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пляров 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 с указанием подли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ник/копия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предоста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ления док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мента</w:t>
            </w:r>
          </w:p>
        </w:tc>
        <w:tc>
          <w:tcPr>
            <w:tcW w:w="354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та/заполнения документа</w:t>
            </w:r>
          </w:p>
        </w:tc>
      </w:tr>
      <w:tr w:rsidR="009111A2" w:rsidRPr="009111A2" w:rsidTr="009111A2"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111A2" w:rsidRPr="009111A2" w:rsidTr="009111A2">
        <w:tc>
          <w:tcPr>
            <w:tcW w:w="15276" w:type="dxa"/>
            <w:gridSpan w:val="8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rPr>
          <w:trHeight w:val="675"/>
        </w:trPr>
        <w:tc>
          <w:tcPr>
            <w:tcW w:w="534" w:type="dxa"/>
          </w:tcPr>
          <w:p w:rsidR="009111A2" w:rsidRPr="009111A2" w:rsidRDefault="009111A2" w:rsidP="009111A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</w:t>
            </w:r>
            <w:r w:rsidRPr="00911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на оказание услуги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</w:tcPr>
          <w:p w:rsidR="009111A2" w:rsidRPr="009111A2" w:rsidRDefault="009111A2" w:rsidP="009111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заявление;</w:t>
            </w:r>
          </w:p>
          <w:p w:rsidR="009111A2" w:rsidRPr="009111A2" w:rsidRDefault="009111A2" w:rsidP="009111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 экз.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линник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 письменном заявлении должна быть указана информация о заяв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теле (для физических лиц указ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ваются: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Ф.И.О., реквизиты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мента, удостоверяющего личность (серия, номер, кем и когда выдан), место жительства, номер телеф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на; для представителя физического лица указываются: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Ф.И.О. пре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ставителя, реквизиты доверенн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сти, которая прилагается к заявл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нию; для юридических лиц указ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ваются: наименование, организ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ционно-правовая форма, адрес 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прилагаемого к заявлению).</w:t>
            </w:r>
            <w:proofErr w:type="gramEnd"/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 Заявление должно быть подп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сано заявителем или его уполн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моченным представителем.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9111A2" w:rsidRPr="009111A2" w:rsidTr="009111A2">
        <w:tc>
          <w:tcPr>
            <w:tcW w:w="534" w:type="dxa"/>
          </w:tcPr>
          <w:p w:rsidR="009111A2" w:rsidRPr="009111A2" w:rsidRDefault="009111A2" w:rsidP="009111A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устана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лива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щие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кументы</w:t>
            </w:r>
          </w:p>
        </w:tc>
        <w:tc>
          <w:tcPr>
            <w:tcW w:w="411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емое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 экз. (по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линники или засв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детельств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ванные в нотариал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порядке копии)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если указа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ные докуме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ты (их копии или сведения, содержащи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ся в них) 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сутствуют в Едином гос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дарственном реестре прав на недвиж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мое имущ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- в установленных законодател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законодательством должнос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лиц;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отсутствие в документах прип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сок, подчисток, зачеркнутых слова и (или) иных неоговоренных 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правлений;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- разборчивое написание текста документа шариковой,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гелевой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ручкой или при помощи средств электронно-вычислительной те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ники.</w:t>
            </w:r>
          </w:p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9111A2" w:rsidRPr="009111A2" w:rsidTr="009111A2">
        <w:tc>
          <w:tcPr>
            <w:tcW w:w="534" w:type="dxa"/>
          </w:tcPr>
          <w:p w:rsidR="009111A2" w:rsidRPr="009111A2" w:rsidRDefault="009111A2" w:rsidP="009111A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Проек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ная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</w:p>
        </w:tc>
        <w:tc>
          <w:tcPr>
            <w:tcW w:w="411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подготовленный и оформленный в установленном порядке проект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устройства и (или) перепланировки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реустраиваемого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5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Проект подготавливается орган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зацией,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имеющией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о допуске к выполнению работ по подготовке проектов по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устройству и (или) перепланиро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ке помещений, выдаваемое сам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регулируемыми организациями в строительной отрасли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9111A2" w:rsidRPr="009111A2" w:rsidTr="009111A2">
        <w:tc>
          <w:tcPr>
            <w:tcW w:w="534" w:type="dxa"/>
          </w:tcPr>
          <w:p w:rsidR="009111A2" w:rsidRPr="009111A2" w:rsidRDefault="009111A2" w:rsidP="009111A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</w:t>
            </w:r>
          </w:p>
        </w:tc>
        <w:tc>
          <w:tcPr>
            <w:tcW w:w="411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- согласие в письменной форме всех членов семьи нанимателя (в том числе временно отсутствующих членов семьи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нанимателя), занимающих переустра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ваемое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перепланируемое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помещение на основании договора соц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ального найма </w:t>
            </w: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экз. 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заявителем является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ченный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наймодателем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на предста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ление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ментов нан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матель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устраиваем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репланиру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 по договору социального найма</w:t>
            </w:r>
          </w:p>
        </w:tc>
        <w:tc>
          <w:tcPr>
            <w:tcW w:w="35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</w:tbl>
    <w:p w:rsidR="009111A2" w:rsidRPr="009111A2" w:rsidRDefault="009111A2" w:rsidP="009111A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  <w:br w:type="column"/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t>О</w:t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t>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9111A2" w:rsidRPr="009111A2" w:rsidTr="009111A2">
        <w:trPr>
          <w:trHeight w:val="2287"/>
        </w:trPr>
        <w:tc>
          <w:tcPr>
            <w:tcW w:w="11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зиты акт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альной техн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логич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ской карты межв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ного взаим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ствия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6"/>
            </w: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прашиваемого док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мента (сведения)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и состав сведений, запраш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ваемых в рамках межведомственного информационного взаимодействия 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ние органа (организ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ции), направля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щего (ей)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212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гана (организ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ции), в адрес кот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рого (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) напра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ляется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тронного сервиса / наимен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вание 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да свед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ний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ществления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информац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онного вза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модействия</w:t>
            </w: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запроса и ответа на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7"/>
            </w: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заполнения формы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запроса и ответа на межведо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9111A2" w:rsidRPr="009111A2" w:rsidTr="009111A2">
        <w:trPr>
          <w:trHeight w:val="232"/>
        </w:trPr>
        <w:tc>
          <w:tcPr>
            <w:tcW w:w="11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111A2" w:rsidRPr="009111A2" w:rsidTr="009111A2">
        <w:trPr>
          <w:trHeight w:val="232"/>
        </w:trPr>
        <w:tc>
          <w:tcPr>
            <w:tcW w:w="15134" w:type="dxa"/>
            <w:gridSpan w:val="9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rPr>
          <w:trHeight w:val="232"/>
        </w:trPr>
        <w:tc>
          <w:tcPr>
            <w:tcW w:w="11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Выписка из Единого государственного 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естра прав на недв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жимое имущество и сделок с ним о зарег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стрированных правах на объект недвижим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сти (переустраиваемое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мое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жилое   помещ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ние).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Орган, пред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ставляющий услугу</w:t>
            </w:r>
          </w:p>
        </w:tc>
        <w:tc>
          <w:tcPr>
            <w:tcW w:w="2126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Управление Фед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ральной службы государственной регистрации, 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дастра и картогр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фии по Вороне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ской области.</w:t>
            </w: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rPr>
          <w:trHeight w:val="232"/>
        </w:trPr>
        <w:tc>
          <w:tcPr>
            <w:tcW w:w="11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Технический паспорт 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переустраиваемого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перепланируем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Орган, пред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ставляющий услугу</w:t>
            </w:r>
          </w:p>
        </w:tc>
        <w:tc>
          <w:tcPr>
            <w:tcW w:w="2126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Орган технич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учета и те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нической инвент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ризации объектов капитального стр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ительства.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111A2" w:rsidRPr="009111A2" w:rsidRDefault="009111A2" w:rsidP="009111A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  <w:br w:type="column"/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111A2" w:rsidRPr="009111A2" w:rsidTr="009111A2">
        <w:trPr>
          <w:trHeight w:val="1559"/>
        </w:trPr>
        <w:tc>
          <w:tcPr>
            <w:tcW w:w="534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Док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мент/документы, я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ляющиеся результ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том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докуме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ту/документам,  явля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щимся 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результата (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ложител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докуме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«по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услуги»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результатом «подуслуги»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хранения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невостр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бованных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заявителем 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зультатов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</w:tr>
      <w:tr w:rsidR="009111A2" w:rsidRPr="009111A2" w:rsidTr="009111A2">
        <w:trPr>
          <w:trHeight w:val="377"/>
        </w:trPr>
        <w:tc>
          <w:tcPr>
            <w:tcW w:w="534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9111A2" w:rsidRPr="009111A2" w:rsidTr="009111A2"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111A2" w:rsidRPr="009111A2" w:rsidTr="009111A2">
        <w:tc>
          <w:tcPr>
            <w:tcW w:w="15275" w:type="dxa"/>
            <w:gridSpan w:val="9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111A2" w:rsidRPr="009111A2" w:rsidTr="009111A2">
        <w:trPr>
          <w:trHeight w:val="1703"/>
        </w:trPr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Выдача решения о 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гласовании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устройства и (или)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Наличие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писи дол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ностного 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ца, подгот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вившего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кумент, даты составления документа, печати орг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низации, 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давшей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мент. Отсу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ствие испра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лений, подч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сток и неч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таемых си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волов.</w:t>
            </w:r>
          </w:p>
        </w:tc>
        <w:tc>
          <w:tcPr>
            <w:tcW w:w="198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</w:tc>
        <w:tc>
          <w:tcPr>
            <w:tcW w:w="1985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-в виде бумажного документа неп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средственно при личном обращении в администрацию или МФЦ;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документа, посре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ством почтового отправления;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- в электронном виде через личный кабинет (одним из способов, указа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в заявлении)</w:t>
            </w:r>
          </w:p>
        </w:tc>
        <w:tc>
          <w:tcPr>
            <w:tcW w:w="1275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111A2" w:rsidRPr="009111A2" w:rsidTr="009111A2">
        <w:tc>
          <w:tcPr>
            <w:tcW w:w="53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09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Мотивированный 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каз в предоставлении муниципальной усл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ги.</w:t>
            </w:r>
          </w:p>
          <w:p w:rsidR="009111A2" w:rsidRPr="009111A2" w:rsidRDefault="009111A2" w:rsidP="009111A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по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писи дол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ностного 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ца, подгот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вившего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кумент, даты составления документа, печати орг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низации, 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давшей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мент. Отсу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ствие испра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лений, подч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сток и неч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таемых си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волов.</w:t>
            </w:r>
          </w:p>
        </w:tc>
        <w:tc>
          <w:tcPr>
            <w:tcW w:w="1984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2127" w:type="dxa"/>
            <w:vMerge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  <w:lastRenderedPageBreak/>
        <w:br w:type="column"/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9111A2" w:rsidRPr="009111A2" w:rsidTr="009111A2">
        <w:tc>
          <w:tcPr>
            <w:tcW w:w="53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ры процесса</w:t>
            </w:r>
          </w:p>
        </w:tc>
        <w:tc>
          <w:tcPr>
            <w:tcW w:w="524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обходимые для выполн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процед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ры процесса</w:t>
            </w:r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9"/>
            </w:r>
          </w:p>
        </w:tc>
        <w:tc>
          <w:tcPr>
            <w:tcW w:w="184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ментов, необх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димых для 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цедуры проце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са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9</w:t>
            </w:r>
            <w:proofErr w:type="gramEnd"/>
          </w:p>
        </w:tc>
      </w:tr>
      <w:tr w:rsidR="009111A2" w:rsidRPr="009111A2" w:rsidTr="009111A2">
        <w:tc>
          <w:tcPr>
            <w:tcW w:w="53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111A2" w:rsidRPr="009111A2" w:rsidTr="009111A2">
        <w:trPr>
          <w:trHeight w:val="325"/>
        </w:trPr>
        <w:tc>
          <w:tcPr>
            <w:tcW w:w="15276" w:type="dxa"/>
            <w:gridSpan w:val="7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111A2" w:rsidRPr="009111A2" w:rsidTr="009111A2">
        <w:trPr>
          <w:trHeight w:val="325"/>
        </w:trPr>
        <w:tc>
          <w:tcPr>
            <w:tcW w:w="15276" w:type="dxa"/>
            <w:gridSpan w:val="7"/>
          </w:tcPr>
          <w:p w:rsidR="009111A2" w:rsidRPr="009111A2" w:rsidRDefault="009111A2" w:rsidP="009111A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1. 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111A2" w:rsidRPr="009111A2" w:rsidTr="009111A2">
        <w:trPr>
          <w:trHeight w:val="1763"/>
        </w:trPr>
        <w:tc>
          <w:tcPr>
            <w:tcW w:w="53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3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Прием и регистрация зая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ления и прилагаемых к нему документов.</w:t>
            </w:r>
          </w:p>
        </w:tc>
        <w:tc>
          <w:tcPr>
            <w:tcW w:w="5244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ского лица действовать от имени юридического 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ца;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3) проверяется заявление установленным требован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ям;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4) проверяется соответствие представленных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ментов следующим требованиям: документы в уст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новленных законодательством случаях нотариально удостоверены, скреплены печатями, имеют надл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жащие подписи определенных законодательством должностных лиц; в документах нет подчисток, пр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иных неоговоренных 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правлений; документы не имеют серьезных повр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ждений, наличие которых не позволяет однозначно истолковать их содержание;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5) регистрируется заявление с прилагаемым ко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плектом документов;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6) выдается расписка в получении документов по установленной форме с указанием перечня докуме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тов и даты их получения.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324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 случае обращения заявителя за предоставлением муниципальной услуги через МФЦ, зарегистрир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ванное заявление передается с сопроводительным письмом в адрес исполнительного органа по месту нахождения переустраиваемого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руемого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помещения.</w:t>
            </w:r>
          </w:p>
          <w:bookmarkEnd w:id="2"/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При наличии оснований для отказа в принятии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кументов специалист, ответственный за прием док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ментов, уведомляет заявителя о наличии препя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ствий к принятию документов, возвращает докуме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ты, объясняет заявителю содержание выявленных недостатков в представленных документах и предл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календа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ный день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ции, МФЦ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Правовое,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кументацио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ное и технол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гическое обе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8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Приложение № 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11A2" w:rsidRPr="009111A2" w:rsidTr="009111A2">
        <w:trPr>
          <w:trHeight w:val="573"/>
        </w:trPr>
        <w:tc>
          <w:tcPr>
            <w:tcW w:w="15276" w:type="dxa"/>
            <w:gridSpan w:val="7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 Наименование административной процедуры 2: Рассмотрение представленных документов и истребование документов (сведений)  в рамках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меж-ведомственного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взаимодействия</w:t>
            </w:r>
          </w:p>
        </w:tc>
      </w:tr>
      <w:tr w:rsidR="009111A2" w:rsidRPr="009111A2" w:rsidTr="009111A2">
        <w:trPr>
          <w:trHeight w:val="2756"/>
        </w:trPr>
        <w:tc>
          <w:tcPr>
            <w:tcW w:w="53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Рассмотрение предста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ленных документов и 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требование документов (сведений)  в рамках ме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ведомственного взаим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действия, которые нах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дятся в распоряжении го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ударственных органов, 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ганов местного самоупра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ления и иных органов</w:t>
            </w:r>
          </w:p>
        </w:tc>
        <w:tc>
          <w:tcPr>
            <w:tcW w:w="5244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1) Проводится проверка заявления и прилагаемых документов на соответствие требованиям.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2) В случае отсутствия оснований для отказа в предоставлении услуги, а также отсутствия в пре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ставленном пакете документов в рамках межведо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ственного взаимодействия направляет запрос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Управление Федеральной службы государственной регистрации, кадастра и картографии по Вороне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ской области на получение выписки из Единого го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ударственного реестра прав на недвижимое имущ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перепланируемое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жилое помещение).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орган технического учета и технической инвент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перепланируемого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управление по охране объектов культурного насл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рии или культуры.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 К запросу прилагаются: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подготовленный и оформленный в установленном порядке проект переустройства и (или) переплан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ровки переустраиваемого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перепланируемого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помещения;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переустраиваемого и (или) 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перепланируемого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 По результатам полученных сведений (докуме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тов) специалист осуществляет проверку документов.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ходимых для проведения переустройства и (или)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репланировки жилого помещения, если соотве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кументов и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(или) информации,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проведения переустройства и (или) перепланировки и жилого помещения. </w:t>
            </w: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 календа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ный день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Правовое,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кументацио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ное и технол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гическое обе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8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1A2" w:rsidRPr="009111A2" w:rsidTr="009111A2">
        <w:trPr>
          <w:trHeight w:val="640"/>
        </w:trPr>
        <w:tc>
          <w:tcPr>
            <w:tcW w:w="15276" w:type="dxa"/>
            <w:gridSpan w:val="7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 Наименование административной процедуры 3:</w:t>
            </w:r>
            <w:r w:rsidRPr="009111A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проекта решения о согласовании переустройства и (или) перепланировки жилого 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9111A2" w:rsidRPr="009111A2" w:rsidTr="009111A2">
        <w:trPr>
          <w:trHeight w:val="2262"/>
        </w:trPr>
        <w:tc>
          <w:tcPr>
            <w:tcW w:w="53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83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проекта 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шения о согласовании п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реустройства и (или)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планировки жилого пом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щения либо подготовка решения о мотивирова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отказе в предоставл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муниципальной усл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ги.</w:t>
            </w:r>
          </w:p>
        </w:tc>
        <w:tc>
          <w:tcPr>
            <w:tcW w:w="5244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sub_341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оснований для отказа в пред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ставлении услуги принимается решение о согласов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переустройства и (или) перепланировки жилого помещения.</w:t>
            </w:r>
          </w:p>
          <w:bookmarkEnd w:id="3"/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sub_343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По результатам принятого решения специалист: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sub_3431"/>
            <w:bookmarkEnd w:id="4"/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готовит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11" w:history="1">
              <w:r w:rsidRPr="009111A2">
                <w:rPr>
                  <w:rFonts w:ascii="Times New Roman" w:eastAsia="Times New Roman" w:hAnsi="Times New Roman" w:cs="Times New Roman"/>
                  <w:lang w:eastAsia="ru-RU"/>
                </w:rPr>
                <w:t>частью 1 статьи 27</w:t>
              </w:r>
            </w:hyperlink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кодекса Российской Федерации.</w:t>
            </w:r>
            <w:proofErr w:type="gramEnd"/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sub_3432"/>
            <w:bookmarkEnd w:id="5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передает подготовленные проект решения о согл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совании переустройства и (или) перепланировки ж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ководителю.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sub_3433"/>
            <w:bookmarkEnd w:id="6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 регистрирует решение о согласовании переустро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ства и (или) перепланировки жилого помещения 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бо решение о мотивированном отказе в предоставл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муниципальной услуги в журнале регистраций.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sub_344"/>
            <w:bookmarkEnd w:id="7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 поступлении заявления о согласовании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устройства и (или) перепланировки жилого помещ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ния через МФЦ зарегистрированное решение управы района о согласовании переустройства и (или) пер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планировки жилого помещения либо решение о 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тивированном отказе в предоставлении муниципал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ной услуги направляются с сопроводительным письмом в адрес в МФЦ в день регистрации указа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10 календа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 дней</w:t>
            </w:r>
          </w:p>
        </w:tc>
        <w:tc>
          <w:tcPr>
            <w:tcW w:w="1559" w:type="dxa"/>
          </w:tcPr>
          <w:p w:rsidR="009111A2" w:rsidRPr="009111A2" w:rsidRDefault="009111A2" w:rsidP="009111A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Правовое,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кументацио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ное и технол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гическое обе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8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9111A2" w:rsidRPr="009111A2" w:rsidTr="009111A2">
        <w:trPr>
          <w:trHeight w:val="669"/>
        </w:trPr>
        <w:tc>
          <w:tcPr>
            <w:tcW w:w="15276" w:type="dxa"/>
            <w:gridSpan w:val="7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4.  Наименование административной процедуры 4: Выдача (направление) заявителю решения о согласовании переустройства и (или) перепланиро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9111A2" w:rsidRPr="009111A2" w:rsidTr="009111A2">
        <w:trPr>
          <w:trHeight w:val="420"/>
        </w:trPr>
        <w:tc>
          <w:tcPr>
            <w:tcW w:w="53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83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Выдача (направление) заявителю решения о 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гласовании переустройства и (или) перепланировки жилого помещения либо решения о мотивирова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отказе в предоставл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нии муниципальной усл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ги.</w:t>
            </w:r>
          </w:p>
        </w:tc>
        <w:tc>
          <w:tcPr>
            <w:tcW w:w="5244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нистрации или в МФЦ.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gramStart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календа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gramEnd"/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1A2" w:rsidRPr="009111A2" w:rsidRDefault="009111A2" w:rsidP="009111A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ции. МФЦ</w:t>
            </w:r>
          </w:p>
        </w:tc>
        <w:tc>
          <w:tcPr>
            <w:tcW w:w="170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Правовое, д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кументацио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ное и технол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гическое обе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111A2" w:rsidRPr="009111A2" w:rsidRDefault="009111A2" w:rsidP="009111A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11A2" w:rsidRPr="009111A2" w:rsidRDefault="009111A2" w:rsidP="009111A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11A2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  <w:br w:type="column"/>
      </w:r>
      <w:r w:rsidRPr="009111A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77"/>
        <w:gridCol w:w="2147"/>
        <w:gridCol w:w="1929"/>
        <w:gridCol w:w="2605"/>
      </w:tblGrid>
      <w:tr w:rsidR="009111A2" w:rsidRPr="009111A2" w:rsidTr="009111A2">
        <w:tc>
          <w:tcPr>
            <w:tcW w:w="24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информ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ции о сроках и поря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ке предоставления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0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ган, МФЦ для подачи запроса о предоставл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нии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5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рования запр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са о предоста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3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ном, предоставл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ющим услугу, з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проса о предоста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и иных докуме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тов, необходимых для предоставл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и уплаты иных пл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тежей, взимаемых в соответствии с законодательством Российской Фед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рации</w:t>
            </w:r>
          </w:p>
        </w:tc>
        <w:tc>
          <w:tcPr>
            <w:tcW w:w="212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сведений о ходе выполн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ния запроса о предоставлении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84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 и досудебного (внесудебного) обжал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вания решений и де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ствий (бездействия) органа в процессе п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«</w:t>
            </w:r>
            <w:proofErr w:type="spellStart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11A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9111A2" w:rsidRPr="009111A2" w:rsidTr="009111A2">
        <w:tc>
          <w:tcPr>
            <w:tcW w:w="2460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1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8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111A2" w:rsidRPr="009111A2" w:rsidTr="009111A2">
        <w:tc>
          <w:tcPr>
            <w:tcW w:w="2460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58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9111A2">
              <w:rPr>
                <w:rFonts w:ascii="Times New Roman" w:eastAsia="SimSun" w:hAnsi="Times New Roman" w:cs="Times New Roman"/>
                <w:lang w:eastAsia="ru-RU"/>
              </w:rPr>
              <w:t>Через экранную форму ЕПГУ</w:t>
            </w:r>
          </w:p>
        </w:tc>
        <w:tc>
          <w:tcPr>
            <w:tcW w:w="2331" w:type="dxa"/>
          </w:tcPr>
          <w:p w:rsidR="009111A2" w:rsidRPr="009111A2" w:rsidRDefault="009111A2" w:rsidP="00911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SimSun" w:hAnsi="Times New Roman" w:cs="Times New Roman"/>
                <w:lang w:eastAsia="ru-RU"/>
              </w:rPr>
              <w:t xml:space="preserve">   Требуется пред</w:t>
            </w:r>
            <w:r w:rsidRPr="009111A2">
              <w:rPr>
                <w:rFonts w:ascii="Times New Roman" w:eastAsia="SimSu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SimSun" w:hAnsi="Times New Roman" w:cs="Times New Roman"/>
                <w:lang w:eastAsia="ru-RU"/>
              </w:rPr>
              <w:t>ставление заявит</w:t>
            </w:r>
            <w:r w:rsidRPr="009111A2">
              <w:rPr>
                <w:rFonts w:ascii="Times New Roman" w:eastAsia="SimSu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SimSun" w:hAnsi="Times New Roman" w:cs="Times New Roman"/>
                <w:lang w:eastAsia="ru-RU"/>
              </w:rPr>
              <w:t>лем документов на бумажном носителе.</w:t>
            </w:r>
          </w:p>
        </w:tc>
        <w:tc>
          <w:tcPr>
            <w:tcW w:w="2159" w:type="dxa"/>
          </w:tcPr>
          <w:p w:rsidR="009111A2" w:rsidRPr="009111A2" w:rsidRDefault="009111A2" w:rsidP="009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SimSun" w:hAnsi="Times New Roman" w:cs="Times New Roman"/>
                <w:lang w:eastAsia="ru-RU"/>
              </w:rPr>
              <w:t xml:space="preserve">    Электронная почта заявителя, телефонная связь, личное обращ</w:t>
            </w:r>
            <w:r w:rsidRPr="009111A2">
              <w:rPr>
                <w:rFonts w:ascii="Times New Roman" w:eastAsia="SimSun" w:hAnsi="Times New Roman" w:cs="Times New Roman"/>
                <w:lang w:eastAsia="ru-RU"/>
              </w:rPr>
              <w:t>е</w:t>
            </w:r>
            <w:r w:rsidRPr="009111A2">
              <w:rPr>
                <w:rFonts w:ascii="Times New Roman" w:eastAsia="SimSun" w:hAnsi="Times New Roman" w:cs="Times New Roman"/>
                <w:lang w:eastAsia="ru-RU"/>
              </w:rPr>
              <w:t>ние заявителя.</w:t>
            </w:r>
          </w:p>
        </w:tc>
        <w:tc>
          <w:tcPr>
            <w:tcW w:w="2848" w:type="dxa"/>
          </w:tcPr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9111A2" w:rsidRPr="009111A2" w:rsidRDefault="009111A2" w:rsidP="009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 xml:space="preserve">   Жалоба может быть направлена по почте, через многофункци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нальный центр, с 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пользованием информ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ционно-телекоммуникационной сети "Интернет", офиц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ального сайта админ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страции, Единого порт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ла либо Регионального портала,  а также может быть принята при ли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111A2">
              <w:rPr>
                <w:rFonts w:ascii="Times New Roman" w:eastAsia="Times New Roman" w:hAnsi="Times New Roman" w:cs="Times New Roman"/>
                <w:lang w:eastAsia="ru-RU"/>
              </w:rPr>
              <w:t>ном приеме заявителя.</w:t>
            </w:r>
          </w:p>
        </w:tc>
      </w:tr>
    </w:tbl>
    <w:p w:rsidR="009111A2" w:rsidRPr="009111A2" w:rsidRDefault="009111A2" w:rsidP="009111A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11A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11A2" w:rsidRPr="009111A2" w:rsidRDefault="009111A2" w:rsidP="00911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приложений:</w:t>
      </w:r>
    </w:p>
    <w:sectPr w:rsidR="009111A2" w:rsidRPr="009111A2" w:rsidSect="009111A2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8C" w:rsidRDefault="0064548C" w:rsidP="006B039A">
      <w:pPr>
        <w:spacing w:after="0" w:line="240" w:lineRule="auto"/>
      </w:pPr>
      <w:r>
        <w:separator/>
      </w:r>
    </w:p>
  </w:endnote>
  <w:endnote w:type="continuationSeparator" w:id="0">
    <w:p w:rsidR="0064548C" w:rsidRDefault="0064548C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8C" w:rsidRDefault="0064548C" w:rsidP="006B039A">
      <w:pPr>
        <w:spacing w:after="0" w:line="240" w:lineRule="auto"/>
      </w:pPr>
      <w:r>
        <w:separator/>
      </w:r>
    </w:p>
  </w:footnote>
  <w:footnote w:type="continuationSeparator" w:id="0">
    <w:p w:rsidR="0064548C" w:rsidRDefault="0064548C" w:rsidP="006B039A">
      <w:pPr>
        <w:spacing w:after="0" w:line="240" w:lineRule="auto"/>
      </w:pPr>
      <w:r>
        <w:continuationSeparator/>
      </w:r>
    </w:p>
  </w:footnote>
  <w:footnote w:id="1">
    <w:p w:rsidR="009111A2" w:rsidRDefault="009111A2" w:rsidP="009111A2">
      <w:pPr>
        <w:pStyle w:val="ad"/>
        <w:rPr>
          <w:rFonts w:eastAsia="Calibri"/>
          <w:color w:val="FF0000"/>
        </w:rPr>
      </w:pPr>
      <w:r>
        <w:rPr>
          <w:rStyle w:val="af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9111A2" w:rsidRDefault="009111A2" w:rsidP="009111A2">
      <w:pPr>
        <w:pStyle w:val="ad"/>
        <w:rPr>
          <w:rFonts w:ascii="Calibri" w:hAnsi="Calibri"/>
        </w:rPr>
      </w:pPr>
      <w:r>
        <w:rPr>
          <w:rStyle w:val="af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9111A2" w:rsidRDefault="009111A2" w:rsidP="009111A2">
      <w:pPr>
        <w:pStyle w:val="ad"/>
      </w:pPr>
      <w:r>
        <w:rPr>
          <w:rStyle w:val="af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9111A2" w:rsidRPr="000A0715" w:rsidRDefault="009111A2" w:rsidP="009111A2">
      <w:pPr>
        <w:pStyle w:val="ad"/>
        <w:rPr>
          <w:vertAlign w:val="superscript"/>
        </w:rPr>
      </w:pPr>
      <w:r>
        <w:rPr>
          <w:rStyle w:val="af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9111A2" w:rsidRDefault="009111A2" w:rsidP="009111A2">
      <w:pPr>
        <w:pStyle w:val="ad"/>
      </w:pPr>
      <w:r>
        <w:rPr>
          <w:rStyle w:val="af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9111A2" w:rsidRDefault="009111A2" w:rsidP="009111A2">
      <w:pPr>
        <w:pStyle w:val="ad"/>
      </w:pPr>
      <w:r>
        <w:rPr>
          <w:rStyle w:val="af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9111A2" w:rsidRDefault="009111A2" w:rsidP="009111A2">
      <w:pPr>
        <w:pStyle w:val="ad"/>
      </w:pPr>
      <w:r>
        <w:rPr>
          <w:rStyle w:val="af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9111A2" w:rsidRDefault="009111A2" w:rsidP="009111A2">
      <w:pPr>
        <w:pStyle w:val="ad"/>
      </w:pPr>
      <w:r>
        <w:rPr>
          <w:rStyle w:val="af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9111A2" w:rsidRDefault="009111A2" w:rsidP="009111A2">
      <w:pPr>
        <w:pStyle w:val="ad"/>
      </w:pPr>
      <w:r>
        <w:rPr>
          <w:rStyle w:val="af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2" w:rsidRDefault="009111A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11A2" w:rsidRDefault="009111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2" w:rsidRDefault="009111A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01746">
      <w:rPr>
        <w:rStyle w:val="af4"/>
        <w:noProof/>
      </w:rPr>
      <w:t>2</w:t>
    </w:r>
    <w:r>
      <w:rPr>
        <w:rStyle w:val="af4"/>
      </w:rPr>
      <w:fldChar w:fldCharType="end"/>
    </w:r>
  </w:p>
  <w:p w:rsidR="009111A2" w:rsidRDefault="009111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139EC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E2E25"/>
    <w:rsid w:val="001154C7"/>
    <w:rsid w:val="001412EF"/>
    <w:rsid w:val="00143098"/>
    <w:rsid w:val="001530D6"/>
    <w:rsid w:val="00190D59"/>
    <w:rsid w:val="001A28A2"/>
    <w:rsid w:val="001A712D"/>
    <w:rsid w:val="001D1545"/>
    <w:rsid w:val="001F7248"/>
    <w:rsid w:val="00205B67"/>
    <w:rsid w:val="00210933"/>
    <w:rsid w:val="00243F3E"/>
    <w:rsid w:val="00246D39"/>
    <w:rsid w:val="002516BF"/>
    <w:rsid w:val="002565B7"/>
    <w:rsid w:val="002648C8"/>
    <w:rsid w:val="0027124F"/>
    <w:rsid w:val="00274B39"/>
    <w:rsid w:val="002964A7"/>
    <w:rsid w:val="00297205"/>
    <w:rsid w:val="002A53CC"/>
    <w:rsid w:val="002B27D1"/>
    <w:rsid w:val="002B4395"/>
    <w:rsid w:val="002C4AAE"/>
    <w:rsid w:val="002C5AC4"/>
    <w:rsid w:val="002F20CD"/>
    <w:rsid w:val="002F25A2"/>
    <w:rsid w:val="00306E97"/>
    <w:rsid w:val="00320CD4"/>
    <w:rsid w:val="00343504"/>
    <w:rsid w:val="003517E9"/>
    <w:rsid w:val="003533BF"/>
    <w:rsid w:val="003579F2"/>
    <w:rsid w:val="003760D0"/>
    <w:rsid w:val="003A32DA"/>
    <w:rsid w:val="003B3251"/>
    <w:rsid w:val="003C5387"/>
    <w:rsid w:val="003D36FB"/>
    <w:rsid w:val="003E3669"/>
    <w:rsid w:val="003F4C77"/>
    <w:rsid w:val="0040150C"/>
    <w:rsid w:val="0040302A"/>
    <w:rsid w:val="004075D9"/>
    <w:rsid w:val="00421695"/>
    <w:rsid w:val="0045763A"/>
    <w:rsid w:val="00457B7F"/>
    <w:rsid w:val="00465C77"/>
    <w:rsid w:val="00481022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33004"/>
    <w:rsid w:val="00552705"/>
    <w:rsid w:val="00563FDF"/>
    <w:rsid w:val="00565FEB"/>
    <w:rsid w:val="00572E1A"/>
    <w:rsid w:val="005A1D24"/>
    <w:rsid w:val="005B1D04"/>
    <w:rsid w:val="005C724A"/>
    <w:rsid w:val="005D1474"/>
    <w:rsid w:val="005D33B3"/>
    <w:rsid w:val="005E0930"/>
    <w:rsid w:val="00601746"/>
    <w:rsid w:val="0060510B"/>
    <w:rsid w:val="00621F36"/>
    <w:rsid w:val="0062536B"/>
    <w:rsid w:val="0063660A"/>
    <w:rsid w:val="0064548C"/>
    <w:rsid w:val="00646B5F"/>
    <w:rsid w:val="00647CFD"/>
    <w:rsid w:val="00655F67"/>
    <w:rsid w:val="006712D3"/>
    <w:rsid w:val="00682329"/>
    <w:rsid w:val="0068566D"/>
    <w:rsid w:val="006912BC"/>
    <w:rsid w:val="00693701"/>
    <w:rsid w:val="006A687E"/>
    <w:rsid w:val="006B039A"/>
    <w:rsid w:val="006C552C"/>
    <w:rsid w:val="006C706E"/>
    <w:rsid w:val="006E0DE7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B43BD"/>
    <w:rsid w:val="007E5B50"/>
    <w:rsid w:val="008038F9"/>
    <w:rsid w:val="00805366"/>
    <w:rsid w:val="008202EC"/>
    <w:rsid w:val="008267AC"/>
    <w:rsid w:val="00834CB9"/>
    <w:rsid w:val="00840703"/>
    <w:rsid w:val="0084228F"/>
    <w:rsid w:val="00843A61"/>
    <w:rsid w:val="00845A63"/>
    <w:rsid w:val="00852ADD"/>
    <w:rsid w:val="008629F4"/>
    <w:rsid w:val="00883DB0"/>
    <w:rsid w:val="00896638"/>
    <w:rsid w:val="008A60E5"/>
    <w:rsid w:val="008B3E92"/>
    <w:rsid w:val="008D4067"/>
    <w:rsid w:val="009111A2"/>
    <w:rsid w:val="009136DA"/>
    <w:rsid w:val="00920094"/>
    <w:rsid w:val="009212AD"/>
    <w:rsid w:val="009477FB"/>
    <w:rsid w:val="00967EF7"/>
    <w:rsid w:val="0097416D"/>
    <w:rsid w:val="0098549A"/>
    <w:rsid w:val="00986786"/>
    <w:rsid w:val="009A473A"/>
    <w:rsid w:val="009F148E"/>
    <w:rsid w:val="00A019A3"/>
    <w:rsid w:val="00A05C43"/>
    <w:rsid w:val="00A0710F"/>
    <w:rsid w:val="00A17B13"/>
    <w:rsid w:val="00A20703"/>
    <w:rsid w:val="00A277CF"/>
    <w:rsid w:val="00A445C6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6368"/>
    <w:rsid w:val="00AF1F2A"/>
    <w:rsid w:val="00AF3411"/>
    <w:rsid w:val="00AF7671"/>
    <w:rsid w:val="00B16935"/>
    <w:rsid w:val="00B355E1"/>
    <w:rsid w:val="00B421BB"/>
    <w:rsid w:val="00B63539"/>
    <w:rsid w:val="00B6741C"/>
    <w:rsid w:val="00B80E9E"/>
    <w:rsid w:val="00B83C7F"/>
    <w:rsid w:val="00B8471B"/>
    <w:rsid w:val="00BA0329"/>
    <w:rsid w:val="00BA1F97"/>
    <w:rsid w:val="00BA63D3"/>
    <w:rsid w:val="00BD28FA"/>
    <w:rsid w:val="00BE47FA"/>
    <w:rsid w:val="00BE5C00"/>
    <w:rsid w:val="00BF5AE0"/>
    <w:rsid w:val="00BF7F66"/>
    <w:rsid w:val="00C46385"/>
    <w:rsid w:val="00C52FE3"/>
    <w:rsid w:val="00C60D4B"/>
    <w:rsid w:val="00C63D9D"/>
    <w:rsid w:val="00C91DAE"/>
    <w:rsid w:val="00C95E22"/>
    <w:rsid w:val="00CC4DA1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1907"/>
    <w:rsid w:val="00D4053D"/>
    <w:rsid w:val="00D42296"/>
    <w:rsid w:val="00D47C7B"/>
    <w:rsid w:val="00D53C45"/>
    <w:rsid w:val="00D55B90"/>
    <w:rsid w:val="00D62733"/>
    <w:rsid w:val="00D62F0A"/>
    <w:rsid w:val="00DB6384"/>
    <w:rsid w:val="00DC4552"/>
    <w:rsid w:val="00DC6799"/>
    <w:rsid w:val="00DF71B7"/>
    <w:rsid w:val="00DF72FE"/>
    <w:rsid w:val="00E115FD"/>
    <w:rsid w:val="00E329C6"/>
    <w:rsid w:val="00E3767E"/>
    <w:rsid w:val="00E57E28"/>
    <w:rsid w:val="00E6585D"/>
    <w:rsid w:val="00E66864"/>
    <w:rsid w:val="00E715B0"/>
    <w:rsid w:val="00E85938"/>
    <w:rsid w:val="00EB7247"/>
    <w:rsid w:val="00EC062C"/>
    <w:rsid w:val="00ED7340"/>
    <w:rsid w:val="00EE32B2"/>
    <w:rsid w:val="00EF624C"/>
    <w:rsid w:val="00EF7145"/>
    <w:rsid w:val="00F3297D"/>
    <w:rsid w:val="00F33C30"/>
    <w:rsid w:val="00F463D6"/>
    <w:rsid w:val="00F61B29"/>
    <w:rsid w:val="00F66AF7"/>
    <w:rsid w:val="00F92830"/>
    <w:rsid w:val="00FB67BA"/>
    <w:rsid w:val="00FD0C98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character" w:customStyle="1" w:styleId="ConsPlusNormal0">
    <w:name w:val="ConsPlusNormal Знак"/>
    <w:link w:val="ConsPlusNormal"/>
    <w:locked/>
    <w:rsid w:val="005D33B3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111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character" w:customStyle="1" w:styleId="ConsPlusNormal0">
    <w:name w:val="ConsPlusNormal Знак"/>
    <w:link w:val="ConsPlusNormal"/>
    <w:locked/>
    <w:rsid w:val="005D33B3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111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2701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64B1-ED59-460C-890E-3CC119E4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8</cp:revision>
  <cp:lastPrinted>2016-11-29T12:32:00Z</cp:lastPrinted>
  <dcterms:created xsi:type="dcterms:W3CDTF">2016-11-29T12:40:00Z</dcterms:created>
  <dcterms:modified xsi:type="dcterms:W3CDTF">2017-11-07T11:11:00Z</dcterms:modified>
</cp:coreProperties>
</file>