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5" w:rsidRPr="002B295F" w:rsidRDefault="008F5F45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 ДЕПУТАТОВ </w:t>
      </w:r>
    </w:p>
    <w:p w:rsidR="008F5F45" w:rsidRPr="002B295F" w:rsidRDefault="000416CD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ЛИПЧАНСКОГО</w:t>
      </w:r>
      <w:r w:rsidR="00517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F45"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8F5F45" w:rsidRPr="002B295F" w:rsidRDefault="008F5F45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8F5F45" w:rsidRPr="002B295F" w:rsidRDefault="008F5F45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F5F45" w:rsidRPr="002B295F" w:rsidRDefault="008F5F45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5F45" w:rsidRPr="002B295F" w:rsidRDefault="008F5F45" w:rsidP="000416C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17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16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278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16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5F45" w:rsidRPr="00517BB7" w:rsidRDefault="00517BB7" w:rsidP="000416C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F5F45" w:rsidRPr="00517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r w:rsidR="000416CD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Липчанка</w:t>
      </w:r>
    </w:p>
    <w:p w:rsidR="008F5F45" w:rsidRPr="002B295F" w:rsidRDefault="008F5F45" w:rsidP="00024E9D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85" w:rsidRDefault="008F5F45" w:rsidP="00024E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2B29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DD2E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б установлении ставок и сроков уплаты </w:t>
      </w:r>
    </w:p>
    <w:p w:rsidR="008F5F45" w:rsidRPr="002B295F" w:rsidRDefault="008F5F45" w:rsidP="00024E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2B29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налог</w:t>
      </w:r>
      <w:r w:rsidR="00DD2E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2B29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на имущество физических лиц</w:t>
      </w:r>
    </w:p>
    <w:p w:rsidR="008F5F45" w:rsidRPr="002B295F" w:rsidRDefault="008F5F45" w:rsidP="000416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8F5F45" w:rsidRPr="002B295F" w:rsidRDefault="008F5F45" w:rsidP="00041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32 Налогового кодекса Р</w:t>
      </w:r>
      <w:r w:rsidR="008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r w:rsidR="00041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(далее по тексту - </w:t>
      </w:r>
      <w:r w:rsidR="00041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</w:t>
      </w: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8F5F45" w:rsidRPr="002B295F" w:rsidRDefault="003D1F57" w:rsidP="00041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41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налога на имущество физических лиц (жилые дома, квартиры, комнаты, гаражи, </w:t>
      </w:r>
      <w:proofErr w:type="spellStart"/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</w:p>
    <w:p w:rsidR="008F5F45" w:rsidRPr="002B295F" w:rsidRDefault="000416CD" w:rsidP="00041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5F45"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подлежит уплате налогоплательщиками в срок не позднее 1 декабря года, следующего за истекшим налоговым периодом.</w:t>
      </w:r>
    </w:p>
    <w:p w:rsidR="008F5F45" w:rsidRPr="002B295F" w:rsidRDefault="008F5F45" w:rsidP="00041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 </w:t>
      </w:r>
      <w:hyperlink r:id="rId6" w:anchor="block_1000" w:tgtFrame="_self" w:history="1">
        <w:r w:rsidRPr="002B29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налогового уведомления</w:t>
        </w:r>
      </w:hyperlink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направляемого налогоплательщику налоговым органом.</w:t>
      </w:r>
    </w:p>
    <w:p w:rsidR="008F5F45" w:rsidRPr="002B295F" w:rsidRDefault="008F5F45" w:rsidP="00041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F5F45" w:rsidRPr="002B295F" w:rsidRDefault="008F5F45" w:rsidP="00041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F5F45" w:rsidRPr="002B295F" w:rsidRDefault="008F5F45" w:rsidP="00041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="003D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 истечении одного месяца со дня его официального опубликования в </w:t>
      </w:r>
      <w:r w:rsidR="00DD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 органов местного самоуправления </w:t>
      </w:r>
      <w:r w:rsidR="00041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DD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="003D1F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F57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D1F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F45" w:rsidRPr="002B295F" w:rsidRDefault="008F5F45" w:rsidP="00041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момента вступления в силу настоящего решения признать утратившим сил решение Совета народных депутатов </w:t>
      </w:r>
      <w:r w:rsidR="00041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</w:t>
      </w:r>
      <w:r w:rsidR="0051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7BB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</w:t>
      </w:r>
    </w:p>
    <w:p w:rsidR="00344BBA" w:rsidRDefault="008F5F45" w:rsidP="00041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постоянную комиссию Совета народных депутатов  </w:t>
      </w:r>
      <w:r w:rsidR="00041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24E9D" w:rsidRPr="00024E9D">
        <w:rPr>
          <w:rFonts w:ascii="Times New Roman" w:hAnsi="Times New Roman" w:cs="Times New Roman"/>
          <w:sz w:val="28"/>
          <w:szCs w:val="28"/>
        </w:rPr>
        <w:t xml:space="preserve">по  бюджету, налогам, финансам и предпринимательству, </w:t>
      </w:r>
      <w:r w:rsidR="00024E9D" w:rsidRPr="00024E9D">
        <w:rPr>
          <w:rFonts w:ascii="Times New Roman" w:hAnsi="Times New Roman" w:cs="Times New Roman"/>
          <w:sz w:val="28"/>
          <w:szCs w:val="28"/>
        </w:rPr>
        <w:lastRenderedPageBreak/>
        <w:t>депутатской этике, торговле, общественному питанию, законности и правопорядку</w:t>
      </w:r>
      <w:r w:rsidR="00344BBA" w:rsidRPr="000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024E9D" w:rsidRPr="000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Гайдуков А.И</w:t>
      </w:r>
      <w:r w:rsidR="00517BB7" w:rsidRPr="000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BBA" w:rsidRPr="000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главу </w:t>
      </w:r>
      <w:r w:rsidR="000416CD" w:rsidRPr="000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51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0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Акименко Е.Б.</w:t>
      </w:r>
      <w:r w:rsidR="00517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F45" w:rsidRPr="002B295F" w:rsidRDefault="008F5F45" w:rsidP="00041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9D" w:rsidRDefault="008F5F45" w:rsidP="000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41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24E9D" w:rsidRDefault="00024E9D" w:rsidP="000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F5F45" w:rsidRPr="002B295F" w:rsidRDefault="00024E9D" w:rsidP="000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             </w:t>
      </w:r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1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Е.Б.Акименко</w:t>
      </w:r>
    </w:p>
    <w:p w:rsidR="008F5F45" w:rsidRPr="002B295F" w:rsidRDefault="008F5F45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5F" w:rsidRDefault="002B295F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B7" w:rsidRDefault="00517BB7" w:rsidP="000416CD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B7" w:rsidRDefault="00517BB7" w:rsidP="000416CD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B7" w:rsidRDefault="00517BB7" w:rsidP="000416CD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F5F45" w:rsidRPr="002B295F" w:rsidRDefault="008F5F45" w:rsidP="000416CD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8F5F45" w:rsidRPr="002B295F" w:rsidRDefault="000416CD" w:rsidP="000416CD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8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F5F45" w:rsidRPr="002B295F" w:rsidRDefault="008F5F45" w:rsidP="000416CD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7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E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7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7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7C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4E9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8F5F45" w:rsidRPr="002B295F" w:rsidRDefault="008F5F45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94" w:rsidRDefault="00897C94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F45" w:rsidRDefault="008F5F45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Ставки налога на имущество физических лиц</w:t>
      </w:r>
    </w:p>
    <w:p w:rsidR="00024E9D" w:rsidRDefault="00024E9D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7371"/>
        <w:gridCol w:w="1383"/>
      </w:tblGrid>
      <w:tr w:rsidR="00024E9D" w:rsidTr="00024E9D">
        <w:tc>
          <w:tcPr>
            <w:tcW w:w="817" w:type="dxa"/>
          </w:tcPr>
          <w:p w:rsidR="00024E9D" w:rsidRPr="002B295F" w:rsidRDefault="00024E9D" w:rsidP="00024E9D">
            <w:pPr>
              <w:widowControl w:val="0"/>
              <w:tabs>
                <w:tab w:val="center" w:pos="0"/>
              </w:tabs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024E9D" w:rsidRPr="002B295F" w:rsidRDefault="00024E9D" w:rsidP="00024E9D">
            <w:pPr>
              <w:widowControl w:val="0"/>
              <w:tabs>
                <w:tab w:val="center" w:pos="0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</w:t>
            </w:r>
          </w:p>
          <w:p w:rsidR="00024E9D" w:rsidRPr="002B295F" w:rsidRDefault="00024E9D" w:rsidP="00024E9D">
            <w:pPr>
              <w:widowControl w:val="0"/>
              <w:tabs>
                <w:tab w:val="center" w:pos="0"/>
              </w:tabs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/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024E9D" w:rsidRPr="002B295F" w:rsidRDefault="00024E9D" w:rsidP="00024E9D">
            <w:pPr>
              <w:widowControl w:val="0"/>
              <w:ind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024E9D" w:rsidRDefault="00024E9D" w:rsidP="00024E9D">
            <w:pPr>
              <w:widowControl w:val="0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объекта налогообложения</w:t>
            </w:r>
          </w:p>
          <w:p w:rsidR="00024E9D" w:rsidRPr="002B295F" w:rsidRDefault="00024E9D" w:rsidP="00024E9D">
            <w:pPr>
              <w:widowControl w:val="0"/>
              <w:ind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:rsidR="00024E9D" w:rsidRPr="002B295F" w:rsidRDefault="00024E9D" w:rsidP="00024E9D">
            <w:pPr>
              <w:widowControl w:val="0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024E9D" w:rsidRPr="002B295F" w:rsidRDefault="00024E9D" w:rsidP="00024E9D">
            <w:pPr>
              <w:widowControl w:val="0"/>
              <w:ind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Ставка налога</w:t>
            </w:r>
          </w:p>
        </w:tc>
      </w:tr>
      <w:tr w:rsidR="00024E9D" w:rsidRPr="00024E9D" w:rsidTr="00024E9D">
        <w:tc>
          <w:tcPr>
            <w:tcW w:w="817" w:type="dxa"/>
          </w:tcPr>
          <w:p w:rsidR="00024E9D" w:rsidRPr="00024E9D" w:rsidRDefault="00024E9D" w:rsidP="00024E9D">
            <w:pPr>
              <w:widowControl w:val="0"/>
              <w:tabs>
                <w:tab w:val="center" w:pos="0"/>
              </w:tabs>
              <w:spacing w:after="60" w:line="210" w:lineRule="exact"/>
              <w:ind w:right="132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024E9D" w:rsidRPr="00024E9D" w:rsidRDefault="00024E9D" w:rsidP="00024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24E9D" w:rsidRPr="00024E9D" w:rsidRDefault="00024E9D" w:rsidP="00024E9D">
            <w:pPr>
              <w:widowControl w:val="0"/>
              <w:ind w:right="113" w:firstLine="31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1.1. Жилой дом.</w:t>
            </w:r>
          </w:p>
          <w:p w:rsidR="00024E9D" w:rsidRPr="00024E9D" w:rsidRDefault="00024E9D" w:rsidP="00024E9D">
            <w:pPr>
              <w:widowControl w:val="0"/>
              <w:ind w:right="113" w:firstLine="31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1.2. Объект незавершенного строительства в  случае, если проектируемым назначением такого объекта является жилой дом.</w:t>
            </w:r>
          </w:p>
          <w:p w:rsidR="00024E9D" w:rsidRPr="00024E9D" w:rsidRDefault="00024E9D" w:rsidP="00024E9D">
            <w:pPr>
              <w:widowControl w:val="0"/>
              <w:ind w:right="113" w:firstLine="31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1.3. Единый недвижимый комплекс, в состав </w:t>
            </w:r>
            <w:proofErr w:type="gramStart"/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которых</w:t>
            </w:r>
            <w:proofErr w:type="gramEnd"/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входит хотя бы одно жилое помещение (жилой дом).</w:t>
            </w:r>
          </w:p>
          <w:p w:rsidR="00024E9D" w:rsidRPr="00024E9D" w:rsidRDefault="00024E9D" w:rsidP="00024E9D">
            <w:pPr>
              <w:widowControl w:val="0"/>
              <w:ind w:right="113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1.4. </w:t>
            </w:r>
            <w:proofErr w:type="spellStart"/>
            <w:proofErr w:type="gramStart"/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Машино-место</w:t>
            </w:r>
            <w:proofErr w:type="spellEnd"/>
            <w:proofErr w:type="gramEnd"/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024E9D" w:rsidRPr="00024E9D" w:rsidRDefault="00024E9D" w:rsidP="00024E9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383" w:type="dxa"/>
          </w:tcPr>
          <w:p w:rsidR="00024E9D" w:rsidRPr="00024E9D" w:rsidRDefault="00024E9D" w:rsidP="00024E9D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024E9D" w:rsidRPr="00024E9D" w:rsidRDefault="00024E9D" w:rsidP="00024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D">
              <w:rPr>
                <w:rStyle w:val="21"/>
                <w:rFonts w:eastAsiaTheme="minorHAnsi"/>
                <w:sz w:val="28"/>
                <w:szCs w:val="28"/>
              </w:rPr>
              <w:t>0,3</w:t>
            </w:r>
          </w:p>
        </w:tc>
      </w:tr>
      <w:tr w:rsidR="00024E9D" w:rsidRPr="00024E9D" w:rsidTr="00024E9D">
        <w:tc>
          <w:tcPr>
            <w:tcW w:w="817" w:type="dxa"/>
          </w:tcPr>
          <w:p w:rsidR="00024E9D" w:rsidRPr="00024E9D" w:rsidRDefault="00024E9D" w:rsidP="00024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024E9D" w:rsidRPr="00024E9D" w:rsidRDefault="00024E9D" w:rsidP="00024E9D">
            <w:pPr>
              <w:widowControl w:val="0"/>
              <w:ind w:right="113" w:firstLine="317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2.1. Жилое помещение (квартира, комната).</w:t>
            </w:r>
          </w:p>
          <w:p w:rsidR="00024E9D" w:rsidRPr="00024E9D" w:rsidRDefault="00024E9D" w:rsidP="00024E9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2.2. Гараж.</w:t>
            </w:r>
          </w:p>
        </w:tc>
        <w:tc>
          <w:tcPr>
            <w:tcW w:w="1383" w:type="dxa"/>
          </w:tcPr>
          <w:p w:rsidR="00024E9D" w:rsidRPr="00024E9D" w:rsidRDefault="00024E9D" w:rsidP="00024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24E9D" w:rsidRPr="00024E9D" w:rsidTr="00024E9D">
        <w:tc>
          <w:tcPr>
            <w:tcW w:w="817" w:type="dxa"/>
          </w:tcPr>
          <w:p w:rsidR="00024E9D" w:rsidRPr="00024E9D" w:rsidRDefault="00024E9D" w:rsidP="00024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024E9D" w:rsidRPr="00024E9D" w:rsidRDefault="00024E9D" w:rsidP="00024E9D">
            <w:pPr>
              <w:widowControl w:val="0"/>
              <w:ind w:right="113" w:firstLine="31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3.1.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024E9D" w:rsidRPr="00024E9D" w:rsidRDefault="00024E9D" w:rsidP="00024E9D">
            <w:pPr>
              <w:widowControl w:val="0"/>
              <w:ind w:right="113" w:firstLine="31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3.2. Объекты недвижимого имущества, предусмотренные абзацем вторым пункта 10 статьи 378.2 Налогового кодекса РФ.</w:t>
            </w:r>
          </w:p>
          <w:p w:rsidR="00024E9D" w:rsidRPr="00024E9D" w:rsidRDefault="00024E9D" w:rsidP="00024E9D">
            <w:pPr>
              <w:widowControl w:val="0"/>
              <w:ind w:right="113" w:firstLine="31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3.3. Объекты недвижимого имущества, кадастровая стоимость каждого из которых превышает 300 миллионов рублей.</w:t>
            </w:r>
          </w:p>
          <w:p w:rsidR="00024E9D" w:rsidRPr="00024E9D" w:rsidRDefault="00024E9D" w:rsidP="00024E9D">
            <w:pPr>
              <w:widowControl w:val="0"/>
              <w:ind w:right="113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24E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3.4. Иные здания, сооружения, помещения.</w:t>
            </w:r>
          </w:p>
          <w:p w:rsidR="00024E9D" w:rsidRPr="00024E9D" w:rsidRDefault="00024E9D" w:rsidP="00024E9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24E9D" w:rsidRPr="00024E9D" w:rsidRDefault="00024E9D" w:rsidP="00024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024E9D" w:rsidRPr="002B295F" w:rsidRDefault="00024E9D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F45" w:rsidRPr="002B295F" w:rsidRDefault="008F5F45" w:rsidP="000416C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201" w:rsidRPr="002B295F" w:rsidRDefault="00B11201" w:rsidP="000416C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11201" w:rsidRPr="002B295F" w:rsidSect="0002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390"/>
    <w:multiLevelType w:val="hybridMultilevel"/>
    <w:tmpl w:val="BBE01836"/>
    <w:lvl w:ilvl="0" w:tplc="2C145B72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F5F45"/>
    <w:rsid w:val="000001F7"/>
    <w:rsid w:val="000126CA"/>
    <w:rsid w:val="000129A7"/>
    <w:rsid w:val="000218A2"/>
    <w:rsid w:val="00022D3B"/>
    <w:rsid w:val="000248A0"/>
    <w:rsid w:val="00024E9D"/>
    <w:rsid w:val="0002578B"/>
    <w:rsid w:val="00035437"/>
    <w:rsid w:val="000416CD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57BDF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15F"/>
    <w:rsid w:val="00274476"/>
    <w:rsid w:val="00277737"/>
    <w:rsid w:val="002852B4"/>
    <w:rsid w:val="00287ED4"/>
    <w:rsid w:val="002954F7"/>
    <w:rsid w:val="00296E8C"/>
    <w:rsid w:val="002B295F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4BBA"/>
    <w:rsid w:val="00345333"/>
    <w:rsid w:val="0035437F"/>
    <w:rsid w:val="00366930"/>
    <w:rsid w:val="00372173"/>
    <w:rsid w:val="00374F00"/>
    <w:rsid w:val="00375995"/>
    <w:rsid w:val="003B1461"/>
    <w:rsid w:val="003D0C66"/>
    <w:rsid w:val="003D1F57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125F"/>
    <w:rsid w:val="004E7744"/>
    <w:rsid w:val="004F49F6"/>
    <w:rsid w:val="00503C83"/>
    <w:rsid w:val="00504BDA"/>
    <w:rsid w:val="00517BB7"/>
    <w:rsid w:val="00521315"/>
    <w:rsid w:val="00526CD1"/>
    <w:rsid w:val="00531FA4"/>
    <w:rsid w:val="00553845"/>
    <w:rsid w:val="00562926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66552"/>
    <w:rsid w:val="00782516"/>
    <w:rsid w:val="007A1001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42E2"/>
    <w:rsid w:val="0083533E"/>
    <w:rsid w:val="00851287"/>
    <w:rsid w:val="00861450"/>
    <w:rsid w:val="0087167E"/>
    <w:rsid w:val="00890F92"/>
    <w:rsid w:val="00893371"/>
    <w:rsid w:val="00894E80"/>
    <w:rsid w:val="00896585"/>
    <w:rsid w:val="00897C94"/>
    <w:rsid w:val="008B452A"/>
    <w:rsid w:val="008B589A"/>
    <w:rsid w:val="008D2F85"/>
    <w:rsid w:val="008D677D"/>
    <w:rsid w:val="008E0355"/>
    <w:rsid w:val="008F5F4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02D60"/>
    <w:rsid w:val="00A134B7"/>
    <w:rsid w:val="00A22E66"/>
    <w:rsid w:val="00A23BC8"/>
    <w:rsid w:val="00A278D2"/>
    <w:rsid w:val="00A30BBA"/>
    <w:rsid w:val="00A5281F"/>
    <w:rsid w:val="00A54253"/>
    <w:rsid w:val="00A669F6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117A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1911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1EF4"/>
    <w:rsid w:val="00CA3CA3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67492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2E85"/>
    <w:rsid w:val="00DD43FF"/>
    <w:rsid w:val="00DE036C"/>
    <w:rsid w:val="00DF110D"/>
    <w:rsid w:val="00DF1A2B"/>
    <w:rsid w:val="00E33E58"/>
    <w:rsid w:val="00E5693A"/>
    <w:rsid w:val="00E5773C"/>
    <w:rsid w:val="00E6174D"/>
    <w:rsid w:val="00E62186"/>
    <w:rsid w:val="00E627A3"/>
    <w:rsid w:val="00E67DD3"/>
    <w:rsid w:val="00E74597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9780F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F45"/>
    <w:rPr>
      <w:color w:val="0000FF"/>
      <w:u w:val="single"/>
    </w:rPr>
  </w:style>
  <w:style w:type="paragraph" w:styleId="a4">
    <w:name w:val="No Spacing"/>
    <w:uiPriority w:val="1"/>
    <w:qFormat/>
    <w:rsid w:val="008F5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F5F45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F45"/>
    <w:pPr>
      <w:widowControl w:val="0"/>
      <w:shd w:val="clear" w:color="auto" w:fill="FFFFFF"/>
      <w:spacing w:after="42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a5">
    <w:name w:val="Основной текст_"/>
    <w:link w:val="3"/>
    <w:locked/>
    <w:rsid w:val="008F5F4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8F5F4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s1">
    <w:name w:val="s_1"/>
    <w:basedOn w:val="a"/>
    <w:rsid w:val="008F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rsid w:val="008F5F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02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58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C199-F8EE-4B61-B855-3D0788D0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adm-lipchanka</cp:lastModifiedBy>
  <cp:revision>7</cp:revision>
  <cp:lastPrinted>2016-11-24T05:38:00Z</cp:lastPrinted>
  <dcterms:created xsi:type="dcterms:W3CDTF">2016-11-11T05:17:00Z</dcterms:created>
  <dcterms:modified xsi:type="dcterms:W3CDTF">2016-11-24T05:38:00Z</dcterms:modified>
</cp:coreProperties>
</file>