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887992">
        <w:rPr>
          <w:b/>
          <w:bCs/>
          <w:sz w:val="28"/>
          <w:szCs w:val="28"/>
        </w:rPr>
        <w:t xml:space="preserve">    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708"/>
        <w:gridCol w:w="426"/>
        <w:gridCol w:w="1275"/>
        <w:gridCol w:w="567"/>
        <w:gridCol w:w="1701"/>
        <w:gridCol w:w="1206"/>
        <w:gridCol w:w="416"/>
      </w:tblGrid>
      <w:tr w:rsidR="0015743F" w:rsidRPr="00DD60B3" w:rsidTr="00CE32B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06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206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132EB2" w:rsidRDefault="00132EB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1 790 441,23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132EB2" w:rsidRDefault="00132EB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602705,45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32EB2">
              <w:rPr>
                <w:sz w:val="20"/>
                <w:szCs w:val="20"/>
              </w:rPr>
              <w:t>62</w:t>
            </w:r>
            <w:r w:rsidR="001554DC">
              <w:rPr>
                <w:sz w:val="20"/>
                <w:szCs w:val="20"/>
              </w:rPr>
              <w:t>735,78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132EB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CE32B0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CE32B0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F54B11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D316BC">
              <w:rPr>
                <w:sz w:val="20"/>
                <w:szCs w:val="20"/>
              </w:rPr>
              <w:t>92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D316BC">
              <w:rPr>
                <w:b/>
                <w:sz w:val="20"/>
                <w:szCs w:val="20"/>
              </w:rPr>
              <w:t>47294,55</w:t>
            </w:r>
          </w:p>
        </w:tc>
        <w:tc>
          <w:tcPr>
            <w:tcW w:w="1206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16BC">
              <w:rPr>
                <w:b/>
                <w:sz w:val="20"/>
                <w:szCs w:val="20"/>
              </w:rPr>
              <w:t>47294,55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206" w:type="dxa"/>
          </w:tcPr>
          <w:p w:rsidR="009C14B4" w:rsidRPr="00DD60B3" w:rsidRDefault="00D316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708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206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0874">
              <w:rPr>
                <w:b/>
                <w:sz w:val="20"/>
                <w:szCs w:val="20"/>
              </w:rPr>
              <w:t xml:space="preserve">418 </w:t>
            </w:r>
            <w:r w:rsidR="00F54B11">
              <w:rPr>
                <w:b/>
                <w:sz w:val="20"/>
                <w:szCs w:val="20"/>
              </w:rPr>
              <w:t>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206" w:type="dxa"/>
          </w:tcPr>
          <w:p w:rsidR="009C14B4" w:rsidRPr="00DD60B3" w:rsidRDefault="00CE32B0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324</w:t>
            </w:r>
            <w:r w:rsidR="00F54B11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</w:rPr>
              <w:t>324</w:t>
            </w:r>
            <w:r w:rsidR="00F54B11">
              <w:rPr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CE32B0">
              <w:rPr>
                <w:b/>
                <w:sz w:val="20"/>
                <w:szCs w:val="20"/>
              </w:rPr>
              <w:t xml:space="preserve">   94</w:t>
            </w:r>
            <w:r w:rsidR="00F54B11">
              <w:rPr>
                <w:b/>
                <w:sz w:val="20"/>
                <w:szCs w:val="20"/>
              </w:rPr>
              <w:t>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CE32B0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CE32B0">
              <w:rPr>
                <w:sz w:val="20"/>
                <w:szCs w:val="20"/>
              </w:rPr>
              <w:t xml:space="preserve">  94</w:t>
            </w:r>
            <w:r w:rsidR="00F54B11">
              <w:rPr>
                <w:sz w:val="20"/>
                <w:szCs w:val="20"/>
              </w:rPr>
              <w:t>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872E2">
              <w:rPr>
                <w:b/>
                <w:sz w:val="20"/>
                <w:szCs w:val="20"/>
              </w:rPr>
              <w:t>774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A872E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226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2</w:t>
            </w:r>
            <w:r w:rsidR="00B0293E">
              <w:rPr>
                <w:b/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E32B0">
              <w:rPr>
                <w:b/>
                <w:sz w:val="20"/>
                <w:szCs w:val="20"/>
              </w:rPr>
              <w:t>226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226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3AB6">
              <w:rPr>
                <w:sz w:val="20"/>
                <w:szCs w:val="20"/>
              </w:rPr>
              <w:t>602705,45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33AB6">
              <w:rPr>
                <w:sz w:val="20"/>
                <w:szCs w:val="20"/>
              </w:rPr>
              <w:t>602705,45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262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3AB6">
              <w:rPr>
                <w:sz w:val="20"/>
                <w:szCs w:val="20"/>
              </w:rPr>
              <w:t xml:space="preserve">20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AB6">
              <w:rPr>
                <w:sz w:val="20"/>
                <w:szCs w:val="20"/>
              </w:rPr>
              <w:t>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C33A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 xml:space="preserve">92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2965AF">
              <w:rPr>
                <w:sz w:val="20"/>
                <w:szCs w:val="20"/>
              </w:rPr>
              <w:t>47294,55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65AF">
              <w:rPr>
                <w:sz w:val="20"/>
                <w:szCs w:val="20"/>
              </w:rPr>
              <w:t>347294,55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FA303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  <w:r w:rsidR="00016048">
              <w:rPr>
                <w:b/>
                <w:sz w:val="20"/>
                <w:szCs w:val="20"/>
              </w:rPr>
              <w:t xml:space="preserve">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2965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  <w:r w:rsidR="000004A3">
              <w:rPr>
                <w:b/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93EF5">
              <w:rPr>
                <w:b/>
                <w:sz w:val="20"/>
                <w:szCs w:val="20"/>
              </w:rPr>
              <w:t>774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93EF5">
              <w:rPr>
                <w:b/>
                <w:sz w:val="20"/>
                <w:szCs w:val="20"/>
              </w:rPr>
              <w:t>226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93EF5">
              <w:rPr>
                <w:sz w:val="20"/>
                <w:szCs w:val="20"/>
              </w:rPr>
              <w:t>226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E93EF5">
              <w:rPr>
                <w:sz w:val="20"/>
                <w:szCs w:val="20"/>
              </w:rPr>
              <w:t>226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2EB2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965AF"/>
    <w:rsid w:val="002A6DD9"/>
    <w:rsid w:val="002B009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0874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280E"/>
    <w:rsid w:val="00693F54"/>
    <w:rsid w:val="00695FC7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AF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87992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6DE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872E2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AB6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32B0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16BC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3EF5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303A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BE75-48BE-460A-A3A1-2F1AABA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16</Pages>
  <Words>3949</Words>
  <Characters>29989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268</cp:revision>
  <cp:lastPrinted>2019-09-30T10:15:00Z</cp:lastPrinted>
  <dcterms:created xsi:type="dcterms:W3CDTF">2011-11-01T07:02:00Z</dcterms:created>
  <dcterms:modified xsi:type="dcterms:W3CDTF">2019-09-30T10:05:00Z</dcterms:modified>
</cp:coreProperties>
</file>