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ВЫГОНИЧСКИЙ МУНИЦИПАЛЬНЫЙ РАЙОН</w:t>
      </w:r>
    </w:p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</w:t>
      </w:r>
    </w:p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3-го созыва</w:t>
      </w:r>
    </w:p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пос. Выгоничи</w:t>
      </w:r>
    </w:p>
    <w:p w:rsidR="002F1B2F" w:rsidRPr="00E451C6" w:rsidRDefault="002F1B2F" w:rsidP="002F1B2F">
      <w:pPr>
        <w:tabs>
          <w:tab w:val="left" w:pos="2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«24 »  января  2019</w:t>
      </w:r>
      <w:r w:rsidRPr="00E451C6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4-191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физических лиц 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 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налогообложения», руководствуясь Уставом муниципального образования Выгоничское городское поселение, Выгоничского района Брянской области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протеста  прокуратуры №44-2018 от 23.11.2018 года 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51C6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E451C6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2F1B2F" w:rsidRPr="00E451C6" w:rsidRDefault="002F1B2F" w:rsidP="002F1B2F">
      <w:pPr>
        <w:tabs>
          <w:tab w:val="left" w:pos="2968"/>
        </w:tabs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РЕШИЛ: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>становить и ввести в действие  с 01 января 2019 года на территории Выгоничского городского поселения Выгоничского района Брянской области налог на имущество физических лиц (далее - налог).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2. Установить, ставки 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2.1.  </w:t>
      </w:r>
      <w:r w:rsidRPr="00E451C6">
        <w:rPr>
          <w:rFonts w:ascii="Times New Roman" w:hAnsi="Times New Roman" w:cs="Times New Roman"/>
          <w:b/>
          <w:sz w:val="28"/>
          <w:szCs w:val="28"/>
        </w:rPr>
        <w:t>В размере 0,1процента в отношении: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-жилых домов, частей жилых домов, квартир,  частей квартир, комнат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хотя бы один жилой дом,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- в отношении хозяйственных строений или сооружений, площадь  каждого из которых не превышает 50 квадратных метров и которые расположены на </w:t>
      </w:r>
      <w:r w:rsidRPr="00E451C6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участках, предоставленных для ведения личного подсобного, дачного  хозяйства,  огородничества, садоводства или индивидуального жилищного строительства,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E451C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451C6">
        <w:rPr>
          <w:rFonts w:ascii="Times New Roman" w:hAnsi="Times New Roman" w:cs="Times New Roman"/>
          <w:sz w:val="28"/>
          <w:szCs w:val="28"/>
        </w:rPr>
        <w:t xml:space="preserve">-мест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-объектов незавершенного строительства в случае, если проектируемым назначением таких объектов является жилой дом,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 </w:t>
      </w:r>
      <w:r w:rsidRPr="00E451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1C6">
        <w:rPr>
          <w:rFonts w:ascii="Times New Roman" w:hAnsi="Times New Roman" w:cs="Times New Roman"/>
          <w:b/>
          <w:sz w:val="28"/>
          <w:szCs w:val="28"/>
        </w:rPr>
        <w:t xml:space="preserve">  размере 2, 0  процентов в отношении</w:t>
      </w:r>
      <w:r w:rsidRPr="00E451C6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 кадастровая стоимость  объекта стоимость каждого из которых превышает 300 миллионов рублей,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 </w:t>
      </w:r>
      <w:r w:rsidRPr="00E451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51C6">
        <w:rPr>
          <w:rFonts w:ascii="Times New Roman" w:hAnsi="Times New Roman" w:cs="Times New Roman"/>
          <w:b/>
          <w:sz w:val="28"/>
          <w:szCs w:val="28"/>
        </w:rPr>
        <w:t xml:space="preserve"> размере 0,5 процента в отношении</w:t>
      </w:r>
      <w:r w:rsidRPr="00E451C6">
        <w:rPr>
          <w:rFonts w:ascii="Times New Roman" w:hAnsi="Times New Roman" w:cs="Times New Roman"/>
          <w:sz w:val="28"/>
          <w:szCs w:val="28"/>
        </w:rPr>
        <w:t xml:space="preserve"> прочих объектов </w:t>
      </w:r>
      <w:proofErr w:type="spellStart"/>
      <w:r w:rsidRPr="00E451C6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3. От уплаты налога на имущество физических лиц  освобождаются следующие категории налогоплательщиков: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1) дети-сироты;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2) дети, оставшиеся без попечения родителей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3) приемные родители, опекуны, попечители трех и более детей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51C6">
        <w:rPr>
          <w:rFonts w:ascii="Times New Roman" w:hAnsi="Times New Roman" w:cs="Times New Roman"/>
          <w:sz w:val="28"/>
          <w:szCs w:val="28"/>
        </w:rPr>
        <w:t>4)многодетные семьи (родители и дети), зарегистрированные и проживающие на территории Выгоничского городского поселения, имеющие в своем составе трех и более детей, находящихся на иждивении родителей, и воспитывающих их до восемнадцатилетнего возраста, а обучающихся образовательных организаций очной формы обучения, а также детей, проходящих срочную военную службу по призыву, но не более чем до достижения ими возраста  23 лет.</w:t>
      </w:r>
      <w:proofErr w:type="gramEnd"/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4.Установить следующие основания и порядок применения налоговых льгот, предусмотренных пунктом 3 настоящего решения «О налоге на имущество»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1) налоговая льгота предоставляется в размере100 процентов подлежащей уплате налогоплательщиком суммы налога в отношении одного  объекта каждого вида  с максимальной исчисленной суммой налога на территории Выгоничского городского поселении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3) налоговая льгота предоставляется в отношении следующих видов объектов налогообложения: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lastRenderedPageBreak/>
        <w:t xml:space="preserve">     а) квартира или комната;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  б) жилой дом;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 в) гараж или </w:t>
      </w:r>
      <w:proofErr w:type="spellStart"/>
      <w:r w:rsidRPr="00E451C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451C6">
        <w:rPr>
          <w:rFonts w:ascii="Times New Roman" w:hAnsi="Times New Roman" w:cs="Times New Roman"/>
          <w:sz w:val="28"/>
          <w:szCs w:val="28"/>
        </w:rPr>
        <w:t>-место;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 г)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дачного хозяйства, огородничества, садоводства или индивидуального жилищного строительства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4)налогоплательщики 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>изические лица, имеющие право на налоговую льготу, в том числе в виде налогового вычета, установленные законодательством о налогах и сборах,  предоставляет  в налоговый орган  по своему выбору заявление о предоставлении налоговой льготы,  а также  вправе представить документы подтверждающие право налогоплательщика на налоговую льготу 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5) Уведомление о выбранных объектах налогообложения, в отношении которых предоставляется налоговая  льгота, 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451C6">
        <w:rPr>
          <w:rFonts w:ascii="Times New Roman" w:hAnsi="Times New Roman" w:cs="Times New Roman"/>
          <w:sz w:val="28"/>
          <w:szCs w:val="28"/>
        </w:rPr>
        <w:t xml:space="preserve"> настоящего решения, представляется налогоплательщиком в налоговый орган 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 каждого вида с максимальной исчисленной суммой налога.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  5.  Налог подлежит уплате налогоплательщиками в срок установленный пунктом 1 статьи 409 Налогового кодекса Российской Федерации.        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>6.Признать утратившими силу Решение Выгоничского поселкового Совета народных депутатов № 13 от 22 октября 2018 года «О налоге на имущество физических лиц»</w:t>
      </w:r>
      <w:proofErr w:type="gramStart"/>
      <w:r w:rsidRPr="00E45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 8.</w:t>
      </w:r>
      <w:r w:rsidRPr="00E4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1C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E4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1C6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F1B2F" w:rsidRPr="00E451C6" w:rsidRDefault="002F1B2F" w:rsidP="002F1B2F">
      <w:pPr>
        <w:tabs>
          <w:tab w:val="left" w:pos="29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8. Опубликовать настоящее решение в районной газете «Российская Нива», «Сборнике муниципальных правовых актов Выгоничского городского поселения» и разместить  в сети «Интернет» на официальном портале </w:t>
      </w:r>
      <w:r w:rsidRPr="00E451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51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51C6">
        <w:rPr>
          <w:rFonts w:ascii="Times New Roman" w:hAnsi="Times New Roman" w:cs="Times New Roman"/>
          <w:sz w:val="28"/>
          <w:szCs w:val="28"/>
          <w:lang w:val="en-US"/>
        </w:rPr>
        <w:t>vigonichi</w:t>
      </w:r>
      <w:proofErr w:type="spellEnd"/>
      <w:r w:rsidRPr="00E451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51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1B2F" w:rsidRPr="00E451C6" w:rsidRDefault="002F1B2F" w:rsidP="002F1B2F">
      <w:pPr>
        <w:rPr>
          <w:rFonts w:ascii="Times New Roman" w:hAnsi="Times New Roman" w:cs="Times New Roman"/>
          <w:sz w:val="28"/>
          <w:szCs w:val="28"/>
        </w:rPr>
      </w:pPr>
      <w:r w:rsidRPr="00E451C6">
        <w:rPr>
          <w:rFonts w:ascii="Times New Roman" w:hAnsi="Times New Roman" w:cs="Times New Roman"/>
          <w:sz w:val="28"/>
          <w:szCs w:val="28"/>
        </w:rPr>
        <w:t xml:space="preserve">Глава п. Выгоничи                                             Е.Н. </w:t>
      </w:r>
      <w:proofErr w:type="spellStart"/>
      <w:r w:rsidRPr="00E451C6">
        <w:rPr>
          <w:rFonts w:ascii="Times New Roman" w:hAnsi="Times New Roman" w:cs="Times New Roman"/>
          <w:sz w:val="28"/>
          <w:szCs w:val="28"/>
        </w:rPr>
        <w:t>Заварзина</w:t>
      </w:r>
      <w:bookmarkStart w:id="0" w:name="_GoBack"/>
      <w:bookmarkEnd w:id="0"/>
      <w:proofErr w:type="spellEnd"/>
    </w:p>
    <w:sectPr w:rsidR="002F1B2F" w:rsidRPr="00E451C6" w:rsidSect="00593E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F"/>
    <w:rsid w:val="00091DE0"/>
    <w:rsid w:val="002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2019-02-01T09:39:00Z</dcterms:created>
  <dcterms:modified xsi:type="dcterms:W3CDTF">2019-02-01T09:39:00Z</dcterms:modified>
</cp:coreProperties>
</file>