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7" w:rsidRPr="00E275F7" w:rsidRDefault="00E275F7" w:rsidP="00E2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BA150" wp14:editId="3A286BBB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F7" w:rsidRPr="00E275F7" w:rsidRDefault="00E275F7" w:rsidP="00E275F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Совет народных депутатов </w:t>
      </w:r>
    </w:p>
    <w:p w:rsidR="00E275F7" w:rsidRPr="00E275F7" w:rsidRDefault="00E275F7" w:rsidP="00E275F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ru-RU"/>
        </w:rPr>
      </w:pPr>
      <w:proofErr w:type="spellStart"/>
      <w:r w:rsidRPr="00E275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сельского поселения  </w:t>
      </w:r>
      <w:proofErr w:type="spellStart"/>
      <w:r w:rsidRPr="00E275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ru-RU"/>
        </w:rPr>
        <w:t xml:space="preserve"> муниципального района</w:t>
      </w:r>
    </w:p>
    <w:p w:rsidR="00E275F7" w:rsidRPr="00E275F7" w:rsidRDefault="00E275F7" w:rsidP="00E275F7">
      <w:pPr>
        <w:keepNext/>
        <w:widowControl w:val="0"/>
        <w:autoSpaceDE w:val="0"/>
        <w:autoSpaceDN w:val="0"/>
        <w:adjustRightInd w:val="0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ru-RU"/>
        </w:rPr>
        <w:t>Воронежской области</w:t>
      </w:r>
    </w:p>
    <w:p w:rsidR="00E275F7" w:rsidRPr="00E275F7" w:rsidRDefault="00E275F7" w:rsidP="00E275F7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РЕШЕНИЕ</w:t>
      </w:r>
    </w:p>
    <w:p w:rsidR="00E275F7" w:rsidRPr="00AF684B" w:rsidRDefault="00E275F7" w:rsidP="00E275F7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2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05 мая 2017 г.     </w:t>
      </w:r>
      <w:r w:rsidRPr="00AF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AF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F68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bookmarkStart w:id="0" w:name="_GoBack"/>
      <w:bookmarkEnd w:id="0"/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275F7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275F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E275F7">
        <w:rPr>
          <w:rFonts w:ascii="Times New Roman" w:eastAsia="Times New Roman" w:hAnsi="Times New Roman" w:cs="Times New Roman"/>
          <w:lang w:eastAsia="ru-RU"/>
        </w:rPr>
        <w:t>вазда</w:t>
      </w:r>
      <w:proofErr w:type="spellEnd"/>
      <w:r w:rsidRPr="00E275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5F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в бюллетень для тайного голосования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кандидатуры на должность заместителя председателя 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275F7" w:rsidRPr="00E275F7" w:rsidRDefault="00E275F7" w:rsidP="00E2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7" w:rsidRPr="00E275F7" w:rsidRDefault="00E275F7" w:rsidP="00E2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ст.ст.11, 27 Регламента Совета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принятого решением Совета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 сентября 2015г.  № 06, Совет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275F7" w:rsidRPr="00E275F7" w:rsidRDefault="00E275F7" w:rsidP="00E2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7" w:rsidRPr="00E275F7" w:rsidRDefault="00E275F7" w:rsidP="00E2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275F7" w:rsidRPr="00E275F7" w:rsidRDefault="00E275F7" w:rsidP="00E2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бюллетень для тайного голосования по выборам заместителя председателя Совета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кандидатуру депутата Совета народных депутатов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E27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Богданову Людмилу Михайловну.</w:t>
      </w: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F7" w:rsidRPr="00E275F7" w:rsidRDefault="00E275F7" w:rsidP="00E27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 w:rsidRPr="00E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В.И.Солодухина</w:t>
      </w:r>
      <w:proofErr w:type="spellEnd"/>
    </w:p>
    <w:p w:rsidR="008D44FB" w:rsidRDefault="008D44FB"/>
    <w:sectPr w:rsidR="008D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7"/>
    <w:rsid w:val="008D44FB"/>
    <w:rsid w:val="00AF684B"/>
    <w:rsid w:val="00E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2017-05-16T16:55:00Z</dcterms:created>
  <dcterms:modified xsi:type="dcterms:W3CDTF">2017-05-17T15:03:00Z</dcterms:modified>
</cp:coreProperties>
</file>