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1" w:rsidRDefault="00A121C1" w:rsidP="00A121C1">
      <w:pPr>
        <w:tabs>
          <w:tab w:val="left" w:pos="4678"/>
        </w:tabs>
        <w:spacing w:after="0" w:line="360" w:lineRule="auto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A121C1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FF8C5" wp14:editId="67074880">
            <wp:simplePos x="0" y="0"/>
            <wp:positionH relativeFrom="margin">
              <wp:posOffset>2315863</wp:posOffset>
            </wp:positionH>
            <wp:positionV relativeFrom="margin">
              <wp:posOffset>-431800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1C1">
        <w:rPr>
          <w:rFonts w:ascii="Times New Roman" w:eastAsia="Calibri" w:hAnsi="Times New Roman"/>
          <w:color w:val="FFFFFF"/>
          <w:sz w:val="20"/>
          <w:szCs w:val="20"/>
        </w:rPr>
        <w:t xml:space="preserve">             19.10.2011                </w:t>
      </w:r>
    </w:p>
    <w:p w:rsidR="00A121C1" w:rsidRDefault="00A121C1" w:rsidP="00A121C1">
      <w:pPr>
        <w:tabs>
          <w:tab w:val="left" w:pos="4678"/>
        </w:tabs>
        <w:spacing w:after="0" w:line="360" w:lineRule="auto"/>
        <w:jc w:val="center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</w:p>
    <w:p w:rsidR="00A121C1" w:rsidRPr="00A121C1" w:rsidRDefault="00A121C1" w:rsidP="00A121C1">
      <w:pPr>
        <w:tabs>
          <w:tab w:val="left" w:pos="4678"/>
        </w:tabs>
        <w:spacing w:after="0" w:line="360" w:lineRule="auto"/>
        <w:ind w:left="-567"/>
        <w:jc w:val="center"/>
        <w:rPr>
          <w:rFonts w:ascii="Times New Roman" w:eastAsia="Calibri" w:hAnsi="Times New Roman"/>
          <w:b/>
          <w:spacing w:val="30"/>
          <w:sz w:val="36"/>
          <w:szCs w:val="36"/>
          <w:lang w:eastAsia="en-US"/>
        </w:rPr>
      </w:pPr>
      <w:r w:rsidRPr="00A121C1">
        <w:rPr>
          <w:rFonts w:ascii="Times New Roman" w:eastAsia="Calibri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121C1">
        <w:rPr>
          <w:rFonts w:ascii="Times New Roman" w:eastAsia="Calibri" w:hAnsi="Times New Roman"/>
          <w:b/>
          <w:sz w:val="28"/>
          <w:szCs w:val="28"/>
        </w:rPr>
        <w:t xml:space="preserve">КРАСНОЛИПЬЕВСКОГО СЕЛЬСКОГО ПОСЕЛЕНИЯ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</w:t>
      </w:r>
      <w:r w:rsidRPr="00A121C1">
        <w:rPr>
          <w:rFonts w:ascii="Times New Roman" w:eastAsia="Calibri" w:hAnsi="Times New Roman"/>
          <w:b/>
          <w:sz w:val="28"/>
          <w:szCs w:val="28"/>
        </w:rPr>
        <w:t>РЕПЬЕВСКОГО МУНИЦИПАЛЬНОГО РАЙОНА</w:t>
      </w:r>
    </w:p>
    <w:p w:rsidR="00A121C1" w:rsidRPr="00A121C1" w:rsidRDefault="00A121C1" w:rsidP="00A121C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21C1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A121C1" w:rsidRPr="00A121C1" w:rsidRDefault="00A121C1" w:rsidP="00A121C1">
      <w:pPr>
        <w:spacing w:after="0" w:line="360" w:lineRule="auto"/>
        <w:ind w:right="-285"/>
        <w:jc w:val="center"/>
        <w:outlineLvl w:val="0"/>
        <w:rPr>
          <w:rFonts w:ascii="Times New Roman" w:eastAsia="Calibri" w:hAnsi="Times New Roman"/>
          <w:b/>
          <w:spacing w:val="30"/>
          <w:sz w:val="36"/>
          <w:szCs w:val="36"/>
        </w:rPr>
      </w:pPr>
      <w:r w:rsidRPr="00A121C1">
        <w:rPr>
          <w:rFonts w:ascii="Times New Roman" w:eastAsia="Calibri" w:hAnsi="Times New Roman"/>
          <w:b/>
          <w:spacing w:val="30"/>
          <w:sz w:val="36"/>
          <w:szCs w:val="36"/>
        </w:rPr>
        <w:t>РАСПОРЯЖЕНИЕ</w:t>
      </w:r>
    </w:p>
    <w:p w:rsidR="00A121C1" w:rsidRPr="00A121C1" w:rsidRDefault="00A121C1" w:rsidP="00A121C1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</w:pPr>
      <w:r w:rsidRPr="00A121C1">
        <w:rPr>
          <w:rFonts w:ascii="Times New Roman" w:eastAsia="Calibri" w:hAnsi="Times New Roman"/>
          <w:sz w:val="28"/>
          <w:szCs w:val="28"/>
          <w:u w:val="single"/>
          <w:lang w:eastAsia="en-US"/>
        </w:rPr>
        <w:t>«07» августа 2017 г. № 8</w:t>
      </w:r>
      <w:r w:rsidR="00842342">
        <w:rPr>
          <w:rFonts w:ascii="Times New Roman" w:eastAsia="Calibri" w:hAnsi="Times New Roman"/>
          <w:sz w:val="28"/>
          <w:szCs w:val="28"/>
          <w:u w:val="single"/>
          <w:lang w:eastAsia="en-US"/>
        </w:rPr>
        <w:t>5</w:t>
      </w:r>
      <w:bookmarkStart w:id="0" w:name="_GoBack"/>
      <w:bookmarkEnd w:id="0"/>
      <w:r w:rsidRPr="00A121C1">
        <w:rPr>
          <w:rFonts w:ascii="Times New Roman" w:eastAsia="Calibri" w:hAnsi="Times New Roman"/>
          <w:sz w:val="28"/>
          <w:szCs w:val="28"/>
          <w:u w:val="single"/>
          <w:lang w:eastAsia="en-US"/>
        </w:rPr>
        <w:t>-р</w:t>
      </w:r>
    </w:p>
    <w:p w:rsidR="00A121C1" w:rsidRPr="00A121C1" w:rsidRDefault="00A121C1" w:rsidP="00A121C1">
      <w:pPr>
        <w:spacing w:after="0" w:line="480" w:lineRule="auto"/>
        <w:ind w:right="48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121C1">
        <w:rPr>
          <w:rFonts w:ascii="Times New Roman" w:eastAsia="Calibri" w:hAnsi="Times New Roman"/>
          <w:sz w:val="24"/>
          <w:szCs w:val="24"/>
          <w:lang w:eastAsia="en-US"/>
        </w:rPr>
        <w:t>с. Краснолипье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121C1" w:rsidRPr="00A121C1" w:rsidTr="00A121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21C1" w:rsidRPr="00A121C1" w:rsidRDefault="00A121C1" w:rsidP="00DE2CE0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21C1">
              <w:rPr>
                <w:rFonts w:ascii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121C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Pr="00A121C1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>Прием заявлений и выдача</w:t>
            </w:r>
            <w:r w:rsidR="00DE2CE0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документов о согласовании</w:t>
            </w:r>
            <w:r w:rsidR="00DE2CE0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 xml:space="preserve">переустройства и (или) </w:t>
            </w:r>
            <w:r w:rsidR="00DE2CE0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>перепланировки жилого помещ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03D1F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r w:rsidRPr="00A121C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121C1" w:rsidRPr="00A121C1" w:rsidRDefault="00A121C1" w:rsidP="00A121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1C1" w:rsidRPr="00A121C1" w:rsidRDefault="00A121C1" w:rsidP="00A121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121C1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121C1">
        <w:rPr>
          <w:rFonts w:ascii="Times New Roman" w:hAnsi="Times New Roman"/>
          <w:sz w:val="28"/>
          <w:szCs w:val="28"/>
        </w:rPr>
        <w:t xml:space="preserve"> руководствуясь Методическими рекомендациями по формированию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121C1">
        <w:rPr>
          <w:rFonts w:ascii="Times New Roman" w:hAnsi="Times New Roman"/>
          <w:sz w:val="28"/>
          <w:szCs w:val="28"/>
        </w:rPr>
        <w:t>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  <w:proofErr w:type="gramEnd"/>
    </w:p>
    <w:p w:rsidR="00A121C1" w:rsidRPr="00A121C1" w:rsidRDefault="00A121C1" w:rsidP="00A121C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услуги </w:t>
      </w:r>
      <w:r w:rsidR="00DE2CE0" w:rsidRPr="00A121C1">
        <w:rPr>
          <w:rFonts w:ascii="Times New Roman" w:hAnsi="Times New Roman"/>
          <w:sz w:val="28"/>
          <w:szCs w:val="28"/>
        </w:rPr>
        <w:t>«</w:t>
      </w:r>
      <w:r w:rsidR="00DE2CE0">
        <w:rPr>
          <w:rFonts w:ascii="Times New Roman" w:hAnsi="Times New Roman"/>
          <w:sz w:val="28"/>
          <w:szCs w:val="28"/>
        </w:rPr>
        <w:t>Прием заявлений и выдача документов о согласовании                                    переустройства и (или) перепланировки жилого помещения</w:t>
      </w:r>
      <w:r w:rsidR="00DE2CE0" w:rsidRPr="00A121C1">
        <w:rPr>
          <w:rFonts w:ascii="Times New Roman" w:hAnsi="Times New Roman"/>
          <w:sz w:val="28"/>
          <w:szCs w:val="28"/>
        </w:rPr>
        <w:t>»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>ложению.</w:t>
      </w:r>
    </w:p>
    <w:p w:rsidR="00A121C1" w:rsidRPr="00A121C1" w:rsidRDefault="00A121C1" w:rsidP="00A121C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A121C1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технологическую схему предоставления муниципальной услуги </w:t>
      </w:r>
      <w:r w:rsidRPr="00A121C1">
        <w:rPr>
          <w:rFonts w:ascii="Times New Roman" w:hAnsi="Times New Roman"/>
          <w:sz w:val="28"/>
          <w:szCs w:val="28"/>
        </w:rPr>
        <w:t>«</w:t>
      </w:r>
      <w:r w:rsidR="00E03D1F">
        <w:rPr>
          <w:rFonts w:ascii="Times New Roman" w:hAnsi="Times New Roman"/>
          <w:sz w:val="28"/>
          <w:szCs w:val="28"/>
        </w:rPr>
        <w:t>Прием заявлений и выдача документов о согласовании</w:t>
      </w:r>
      <w:r w:rsidR="00DE2CE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03D1F">
        <w:rPr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</w:t>
      </w:r>
      <w:r w:rsidRPr="00A121C1">
        <w:rPr>
          <w:rFonts w:ascii="Times New Roman" w:hAnsi="Times New Roman"/>
          <w:sz w:val="28"/>
          <w:szCs w:val="28"/>
        </w:rPr>
        <w:t>»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="00DE2CE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сайте органов местного самоуправления Краснолипьевского 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сельского поселения Репьевского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 w:rsidR="00DE2CE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A121C1">
        <w:rPr>
          <w:rFonts w:ascii="Times New Roman" w:eastAsia="Calibri" w:hAnsi="Times New Roman"/>
          <w:sz w:val="28"/>
          <w:szCs w:val="28"/>
          <w:lang w:eastAsia="en-US"/>
        </w:rPr>
        <w:t>Воронежской области.</w:t>
      </w:r>
    </w:p>
    <w:p w:rsidR="00A121C1" w:rsidRPr="00A121C1" w:rsidRDefault="00A121C1" w:rsidP="00A121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1C1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A12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2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21C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121C1">
        <w:rPr>
          <w:rFonts w:ascii="Times New Roman" w:hAnsi="Times New Roman"/>
          <w:sz w:val="28"/>
          <w:szCs w:val="28"/>
        </w:rPr>
        <w:t xml:space="preserve"> собой.</w:t>
      </w:r>
    </w:p>
    <w:p w:rsidR="00A121C1" w:rsidRPr="00A121C1" w:rsidRDefault="00A121C1" w:rsidP="00A121C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A121C1" w:rsidRPr="00A121C1" w:rsidTr="00A121C1">
        <w:tc>
          <w:tcPr>
            <w:tcW w:w="3652" w:type="dxa"/>
            <w:shd w:val="clear" w:color="auto" w:fill="auto"/>
          </w:tcPr>
          <w:p w:rsidR="00A121C1" w:rsidRPr="00A121C1" w:rsidRDefault="00A121C1" w:rsidP="00A121C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21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A121C1" w:rsidRPr="00A121C1" w:rsidRDefault="00A121C1" w:rsidP="00A121C1">
            <w:pPr>
              <w:tabs>
                <w:tab w:val="left" w:pos="4678"/>
              </w:tabs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A121C1" w:rsidRPr="00A121C1" w:rsidRDefault="00A121C1" w:rsidP="00A121C1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21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A121C1" w:rsidRDefault="00A121C1" w:rsidP="00A121C1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A121C1" w:rsidSect="00DE2C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0303" w:rsidRPr="00120303" w:rsidRDefault="00120303" w:rsidP="00A121C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lastRenderedPageBreak/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0303">
              <w:rPr>
                <w:rFonts w:ascii="Times New Roman" w:hAnsi="Times New Roman"/>
                <w:b/>
              </w:rPr>
              <w:t>п</w:t>
            </w:r>
            <w:proofErr w:type="gramEnd"/>
            <w:r w:rsidRPr="0012030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A121C1" w:rsidP="00E03D1F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385424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Краснолипьевского сельского поселения Репьевского муниципального     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E03D1F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</w:t>
            </w:r>
            <w:r w:rsidR="00E03D1F">
              <w:rPr>
                <w:rFonts w:ascii="Times New Roman" w:hAnsi="Times New Roman"/>
              </w:rPr>
              <w:t xml:space="preserve">                   </w:t>
            </w:r>
            <w:r w:rsidRPr="00120303">
              <w:rPr>
                <w:rFonts w:ascii="Times New Roman" w:hAnsi="Times New Roman"/>
              </w:rPr>
              <w:t xml:space="preserve"> перепланировки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E03D1F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</w:t>
            </w:r>
            <w:r w:rsidR="00E03D1F">
              <w:rPr>
                <w:rFonts w:ascii="Times New Roman" w:hAnsi="Times New Roman"/>
              </w:rPr>
              <w:t xml:space="preserve">                   </w:t>
            </w:r>
            <w:r w:rsidRPr="00120303">
              <w:rPr>
                <w:rFonts w:ascii="Times New Roman" w:hAnsi="Times New Roman"/>
              </w:rPr>
              <w:t xml:space="preserve"> перепланировки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E03D1F" w:rsidP="00E03D1F">
            <w:pPr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>Постановление а</w:t>
            </w:r>
            <w:r w:rsidRPr="00385424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Краснолипьевского сельского поселения Репьевского         муниципального района Воронежской области от 23.12.2014 г. № 61 « Об утверждении     административного регламента администрации Краснолипьевского сельского поселения по предоставлению муниципальной услуги «Прием заявлений и выдача документов о             согласовании переустройства и (или) перепланировки жилого помещения»»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121C1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121C1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121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121C1">
        <w:tc>
          <w:tcPr>
            <w:tcW w:w="15276" w:type="dxa"/>
            <w:gridSpan w:val="8"/>
          </w:tcPr>
          <w:p w:rsidR="002E13C6" w:rsidRPr="00120303" w:rsidRDefault="002E13C6" w:rsidP="00A121C1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121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lastRenderedPageBreak/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lastRenderedPageBreak/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A121C1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  <w:r w:rsidRPr="00120303">
              <w:rPr>
                <w:rFonts w:ascii="Times New Roman" w:hAnsi="Times New Roman"/>
              </w:rPr>
              <w:lastRenderedPageBreak/>
              <w:t>по до</w:t>
            </w:r>
            <w:r>
              <w:rPr>
                <w:rFonts w:ascii="Times New Roman" w:hAnsi="Times New Roman"/>
              </w:rPr>
              <w:t>говору социального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121C1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121C1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121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121C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121C1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121C1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A12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A12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 xml:space="preserve">ственного взаимодействия направляет запрос </w:t>
            </w:r>
            <w:proofErr w:type="gramStart"/>
            <w:r w:rsidRPr="00120303">
              <w:rPr>
                <w:rFonts w:ascii="Times New Roman" w:hAnsi="Times New Roman"/>
              </w:rPr>
              <w:t>в</w:t>
            </w:r>
            <w:proofErr w:type="gramEnd"/>
            <w:r w:rsidRPr="00120303">
              <w:rPr>
                <w:rFonts w:ascii="Times New Roman" w:hAnsi="Times New Roman"/>
              </w:rPr>
              <w:t>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10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A12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A12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A12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A12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EA" w:rsidRDefault="00BA31EA" w:rsidP="00F847AF">
      <w:pPr>
        <w:spacing w:after="0" w:line="240" w:lineRule="auto"/>
      </w:pPr>
      <w:r>
        <w:separator/>
      </w:r>
    </w:p>
  </w:endnote>
  <w:endnote w:type="continuationSeparator" w:id="0">
    <w:p w:rsidR="00BA31EA" w:rsidRDefault="00BA31EA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EA" w:rsidRDefault="00BA31EA" w:rsidP="00F847AF">
      <w:pPr>
        <w:spacing w:after="0" w:line="240" w:lineRule="auto"/>
      </w:pPr>
      <w:r>
        <w:separator/>
      </w:r>
    </w:p>
  </w:footnote>
  <w:footnote w:type="continuationSeparator" w:id="0">
    <w:p w:rsidR="00BA31EA" w:rsidRDefault="00BA31EA" w:rsidP="00F847AF">
      <w:pPr>
        <w:spacing w:after="0" w:line="240" w:lineRule="auto"/>
      </w:pPr>
      <w:r>
        <w:continuationSeparator/>
      </w:r>
    </w:p>
  </w:footnote>
  <w:footnote w:id="1">
    <w:p w:rsidR="00A121C1" w:rsidRDefault="00A121C1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121C1" w:rsidRDefault="00A121C1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A121C1" w:rsidRDefault="00A121C1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A121C1" w:rsidRPr="000A0715" w:rsidRDefault="00A121C1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A121C1" w:rsidRDefault="00A121C1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A121C1" w:rsidRDefault="00A121C1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A121C1" w:rsidRDefault="00A121C1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A121C1" w:rsidRDefault="00A121C1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A121C1" w:rsidRDefault="00A121C1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1F3946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2342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1C1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31EA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8658A"/>
    <w:rsid w:val="00DA18D9"/>
    <w:rsid w:val="00DC4B68"/>
    <w:rsid w:val="00DD0ACA"/>
    <w:rsid w:val="00DD19AE"/>
    <w:rsid w:val="00DD52CC"/>
    <w:rsid w:val="00DE1703"/>
    <w:rsid w:val="00DE2CE0"/>
    <w:rsid w:val="00DE6534"/>
    <w:rsid w:val="00DF01EC"/>
    <w:rsid w:val="00DF3ED9"/>
    <w:rsid w:val="00E03D1F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27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7DF5-83C9-4A0C-944E-C9E49172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3935</Words>
  <Characters>22433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26316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8</cp:revision>
  <dcterms:created xsi:type="dcterms:W3CDTF">2016-11-07T11:32:00Z</dcterms:created>
  <dcterms:modified xsi:type="dcterms:W3CDTF">2017-09-05T06:27:00Z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