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center"/>
      </w:pPr>
      <w:r>
        <w:t xml:space="preserve">АДМИНИСТРАЦИЯ СЕЛЬСКОГО ПОСЕЛЕНИЯ БОРИНСКИЙ СЕЛЬСОВЕТ ЛИПЕЦКОГО </w:t>
      </w:r>
      <w:r>
        <w:t>МУНИЦИПАЛЬНОГО РАЙОНА ЛИПЕЦКОЙ ОБЛАСТИ РОССИЙСКОЙ ФЕДЕРАЦИИ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center"/>
      </w:pPr>
      <w:r>
        <w:t xml:space="preserve">10.05.2017 г.                                                                                                                                                         № </w:t>
      </w:r>
      <w:r>
        <w:t>20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Heading1"/>
        <w:spacing w:after="60" w:line="240" w:lineRule="auto"/>
        <w:ind w:left="0" w:right="0"/>
        <w:jc w:val="center"/>
      </w:pPr>
      <w:r>
        <w:rPr>
          <w:rFonts w:ascii="Arial" w:hAnsi="Arial"/>
          <w:sz w:val="32"/>
        </w:rPr>
        <w:t xml:space="preserve">Об утверждении </w:t>
      </w:r>
      <w:proofErr w:type="gramStart"/>
      <w:r>
        <w:rPr>
          <w:rFonts w:ascii="Arial" w:hAnsi="Arial"/>
          <w:sz w:val="32"/>
        </w:rPr>
        <w:t>Порядка составления проекта бюджета сельского поселения</w:t>
      </w:r>
      <w:proofErr w:type="gramEnd"/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 Российской Федерации на 2018 год и на плановый период 2019 и 2020 годов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proofErr w:type="gramStart"/>
      <w:r>
        <w:t xml:space="preserve">В соответствии со статьей 34 Положения </w:t>
      </w:r>
      <w:r>
        <w:t xml:space="preserve">"О бюджетном процессе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Российской Федерации", утвержденного решением Совета депутатов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</w:t>
      </w:r>
      <w:r>
        <w:t xml:space="preserve">бласти </w:t>
      </w:r>
      <w:hyperlink r:id="rId4">
        <w:r>
          <w:rPr>
            <w:rStyle w:val="InternetLink"/>
            <w:color w:val="0000FF"/>
            <w:u w:val="none"/>
          </w:rPr>
          <w:t>от 09.10.2015г. №7</w:t>
        </w:r>
      </w:hyperlink>
      <w:r>
        <w:t xml:space="preserve"> (с учетом изменений </w:t>
      </w:r>
      <w:hyperlink r:id="rId5">
        <w:r>
          <w:rPr>
            <w:rStyle w:val="InternetLink"/>
            <w:color w:val="0000FF"/>
            <w:u w:val="none"/>
          </w:rPr>
          <w:t>от 02.03.2016г</w:t>
        </w:r>
        <w:r>
          <w:rPr>
            <w:rStyle w:val="InternetLink"/>
            <w:color w:val="0000FF"/>
            <w:u w:val="none"/>
          </w:rPr>
          <w:t>. №68</w:t>
        </w:r>
      </w:hyperlink>
      <w:r>
        <w:t xml:space="preserve">, </w:t>
      </w:r>
      <w:hyperlink r:id="rId6">
        <w:r>
          <w:rPr>
            <w:rStyle w:val="InternetLink"/>
            <w:color w:val="0000FF"/>
            <w:u w:val="none"/>
          </w:rPr>
          <w:t>от 05.08.2016г. №143</w:t>
        </w:r>
      </w:hyperlink>
      <w:r>
        <w:t xml:space="preserve">),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  <w:proofErr w:type="gramEnd"/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both"/>
      </w:pPr>
      <w:r>
        <w:t>ПОСТАНОВЛЯЕТ: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1. Администрации сельского</w:t>
      </w:r>
      <w:r>
        <w:t xml:space="preserve"> поселения </w:t>
      </w:r>
      <w:proofErr w:type="spellStart"/>
      <w:r>
        <w:t>Боринский</w:t>
      </w:r>
      <w:proofErr w:type="spellEnd"/>
      <w:r>
        <w:t xml:space="preserve"> сельсовет в срок до 20 июня обеспечить предоставление информации от главных администраторов, администраторов доходов бюджета, главных распорядителей бюджетных сре</w:t>
      </w:r>
      <w:proofErr w:type="gramStart"/>
      <w:r>
        <w:t>дств дл</w:t>
      </w:r>
      <w:proofErr w:type="gramEnd"/>
      <w:r>
        <w:t>я формирования проекта бюджета на 2018 год и на плановый период 20</w:t>
      </w:r>
      <w:r>
        <w:t>19 и 2020 годов согласно приложению 2.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2. Главным администраторам, администраторам доходов бюджета, главным распорядителями бюджетных средств обеспечить предоставление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сельсовет, по установленным им формам и ср</w:t>
      </w:r>
      <w:r>
        <w:t>окам, дополнительной статистической и аналитической информации, необходимой для разработки проекта бюджета сельского поселения на 2018 год и на плановый период 2019 и 2020 годов.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both"/>
      </w:pPr>
      <w:r>
        <w:t>Глава администрации Сельского поселения</w:t>
      </w:r>
    </w:p>
    <w:p w:rsidR="00B85AB0" w:rsidRDefault="00F67E00">
      <w:pPr>
        <w:pStyle w:val="TextBody"/>
        <w:spacing w:after="0" w:line="240" w:lineRule="auto"/>
        <w:ind w:left="0" w:right="0"/>
        <w:jc w:val="both"/>
      </w:pPr>
      <w:proofErr w:type="spellStart"/>
      <w:r>
        <w:t>Н.В.Ярикова</w:t>
      </w:r>
      <w:proofErr w:type="spellEnd"/>
      <w:r>
        <w:t> 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F67E00" w:rsidRDefault="00F67E00">
      <w:pPr>
        <w:pStyle w:val="TextBody"/>
        <w:spacing w:after="0" w:line="240" w:lineRule="auto"/>
        <w:ind w:left="0" w:right="0" w:firstLine="567"/>
        <w:jc w:val="both"/>
      </w:pPr>
    </w:p>
    <w:p w:rsidR="00F67E00" w:rsidRDefault="00F67E00">
      <w:pPr>
        <w:pStyle w:val="TextBody"/>
        <w:spacing w:after="0" w:line="240" w:lineRule="auto"/>
        <w:ind w:left="0" w:right="0" w:firstLine="567"/>
        <w:jc w:val="both"/>
      </w:pPr>
    </w:p>
    <w:p w:rsidR="00F67E00" w:rsidRDefault="00F67E00">
      <w:pPr>
        <w:pStyle w:val="TextBody"/>
        <w:spacing w:after="0" w:line="240" w:lineRule="auto"/>
        <w:ind w:left="0" w:right="0" w:firstLine="567"/>
        <w:jc w:val="both"/>
      </w:pPr>
    </w:p>
    <w:p w:rsidR="00F67E00" w:rsidRDefault="00F67E0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both"/>
      </w:pPr>
      <w:r>
        <w:lastRenderedPageBreak/>
        <w:t xml:space="preserve">Приложение 1 к </w:t>
      </w:r>
      <w:r>
        <w:t xml:space="preserve">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"Об утверждении </w:t>
      </w:r>
      <w:proofErr w:type="gramStart"/>
      <w:r>
        <w:t>Порядка составления проекта бюджета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на 2018 год и на плановый период 2019 и 2020 годов" 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t>ПОРЯДОК</w:t>
      </w:r>
    </w:p>
    <w:p w:rsidR="00B85AB0" w:rsidRDefault="00F67E00">
      <w:pPr>
        <w:pStyle w:val="Heading2"/>
        <w:spacing w:before="0" w:after="0" w:line="240" w:lineRule="auto"/>
        <w:ind w:left="0" w:right="0"/>
        <w:jc w:val="center"/>
      </w:pPr>
      <w:r>
        <w:rPr>
          <w:sz w:val="32"/>
        </w:rPr>
        <w:t>со</w:t>
      </w:r>
      <w:r>
        <w:rPr>
          <w:sz w:val="32"/>
        </w:rPr>
        <w:t xml:space="preserve">ставления проекта бюджета сельского поселения </w:t>
      </w:r>
      <w:proofErr w:type="spellStart"/>
      <w:r>
        <w:rPr>
          <w:sz w:val="32"/>
        </w:rPr>
        <w:t>Боринский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 Российской Федерации на 2018 год и на плановый период 2019 и 2020 годов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1.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1 авгус</w:t>
      </w:r>
      <w:r>
        <w:t>та: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осуществляет расчеты объема бюджетных ассигнований бюджета сельского </w:t>
      </w:r>
      <w:proofErr w:type="gramStart"/>
      <w:r>
        <w:t>поселения</w:t>
      </w:r>
      <w:proofErr w:type="gramEnd"/>
      <w:r>
        <w:t xml:space="preserve"> на исполнение действующих и принимаемых расходных обязательств;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доводит до субъектов бюджетного планирования предельные объемы бюджетных ассигнований на 2018 год и плановый </w:t>
      </w:r>
      <w:r>
        <w:t>период;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8 сентября: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рассматривает несогласованные вопросы по бюджету с субъектами бюджетного планирования;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2. Субъекты бюджетного планирования представляют в администрацию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3 июл</w:t>
      </w:r>
      <w:r>
        <w:t>я: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реестры действующих расходных обязательств на 2018 год и плановый период;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проекты нормативных правовых актов сельского поселения, предусматривающих установление новых расходных обязательств Липецкого муниципального района на 2018 год и плановый период;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обоснование потребности в бюджетных ассигнованиях по действующим и принимаемым расходным обязательствам сельского поселения </w:t>
      </w:r>
      <w:proofErr w:type="spellStart"/>
      <w:r>
        <w:t>Боринский</w:t>
      </w:r>
      <w:proofErr w:type="spellEnd"/>
      <w:r>
        <w:t xml:space="preserve"> сельсовет на 2018 год и плановый период с выделением объемов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</w:t>
      </w:r>
      <w:r>
        <w:t>расходных обязательств с областным бюджетом;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заявку и обоснование </w:t>
      </w:r>
      <w:proofErr w:type="gramStart"/>
      <w:r>
        <w:t>на выделение средств для дополнительного финансирования на осуществление переданных органам местного самоуправления государственных полномочий сверх объемов соответствующих субвенций из обла</w:t>
      </w:r>
      <w:r>
        <w:t>стного бюджета</w:t>
      </w:r>
      <w:proofErr w:type="gramEnd"/>
      <w:r>
        <w:t>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15 августа: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распределение предельного объема бюджетных ассигнований бюджета сельского поселения на 2018 год и плановый период по целевым статьям (муниципальным программам сельского поселения и </w:t>
      </w:r>
      <w:proofErr w:type="spellStart"/>
      <w:r>
        <w:t>непрограммным</w:t>
      </w:r>
      <w:proofErr w:type="spellEnd"/>
      <w:r>
        <w:t xml:space="preserve"> направлениям деятельности), </w:t>
      </w:r>
      <w:r>
        <w:t>группам видов расходов, разделам, подразделам классификации расходов бюджетов;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методики (проекты методик) расчета объема межбюджетных трансфертов и перечень НПА, предусматривающих предоставление межбюджетных трансфертов из бюджета поселения;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прогнозный объ</w:t>
      </w:r>
      <w:r>
        <w:t xml:space="preserve">ем средств областного бюджета, планируемый к привлечению на </w:t>
      </w:r>
      <w:proofErr w:type="spellStart"/>
      <w:r>
        <w:t>софинансирование</w:t>
      </w:r>
      <w:proofErr w:type="spellEnd"/>
      <w:r>
        <w:t xml:space="preserve"> мероприятий социально-экономического развития муниципального района на 2018 год и плановый период;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16 октября: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проекты изменений в паспорта муниципальных программ сельского пос</w:t>
      </w:r>
      <w:r>
        <w:t xml:space="preserve">еления, согласованных с комитетом экономического </w:t>
      </w:r>
      <w:r>
        <w:lastRenderedPageBreak/>
        <w:t>прогнозирования, инвестиций и инновационной деятельности;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3.До 15 августа: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распределение в разрезе муниципальных программ сельского поселения предельного объема бюджетных ассигнований бюджета на 2018 год и п</w:t>
      </w:r>
      <w:r>
        <w:t xml:space="preserve">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индикаторов, показателей задач муниципальных программ по формам с соответствии с приложениями к Порядку разработки, реализации и проведении оценки эффективности реализации муниципальных программ.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до 8 сентяб</w:t>
      </w:r>
      <w:r>
        <w:t>ря:</w:t>
      </w: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 xml:space="preserve">уточненное по результатам согласования с комитетом финансов администрации Липецкого муниципального района распределение в разрезе муниципальных программ сельского поселения предельного объема бюджетных ассигнований бюджета на 2018 год и плановый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индикаторов, показателей задач муниципальных программ сельского поселения по формам, указанным в абзаце третьем настоящего пункта.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both"/>
      </w:pPr>
      <w:r>
        <w:t xml:space="preserve">Приложение 2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</w:t>
      </w:r>
      <w:r>
        <w:t xml:space="preserve">кого муниципального района "Об утверждении </w:t>
      </w:r>
      <w:proofErr w:type="gramStart"/>
      <w:r>
        <w:t>Порядка составления проекта бюджета сельского поселения</w:t>
      </w:r>
      <w:proofErr w:type="gramEnd"/>
      <w:r>
        <w:t xml:space="preserve"> </w:t>
      </w:r>
      <w:proofErr w:type="spellStart"/>
      <w:r>
        <w:t>Боринский</w:t>
      </w:r>
      <w:proofErr w:type="spellEnd"/>
      <w:r>
        <w:t xml:space="preserve"> сельсовет на 2018 год и на плановый период 2019 и 2020 годов" 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/>
        <w:jc w:val="center"/>
      </w:pPr>
      <w:r>
        <w:rPr>
          <w:rStyle w:val="StrongEmphasis"/>
        </w:rPr>
        <w:t>ИНФОРМАЦИЯ,</w:t>
      </w:r>
    </w:p>
    <w:p w:rsidR="00B85AB0" w:rsidRDefault="00F67E00">
      <w:pPr>
        <w:pStyle w:val="TextBody"/>
        <w:spacing w:after="0" w:line="240" w:lineRule="auto"/>
        <w:ind w:left="0" w:right="0"/>
        <w:jc w:val="center"/>
      </w:pPr>
      <w:proofErr w:type="gramStart"/>
      <w:r>
        <w:rPr>
          <w:rStyle w:val="StrongEmphasis"/>
        </w:rPr>
        <w:t>представляемая</w:t>
      </w:r>
      <w:proofErr w:type="gramEnd"/>
      <w:r>
        <w:rPr>
          <w:rStyle w:val="StrongEmphasis"/>
        </w:rPr>
        <w:t xml:space="preserve"> главными администраторами, администраторами доходов бюдж</w:t>
      </w:r>
      <w:r>
        <w:rPr>
          <w:rStyle w:val="StrongEmphasis"/>
        </w:rPr>
        <w:t xml:space="preserve">ета, главными распорядителями бюджетных средств в администрацию сельского поселения </w:t>
      </w:r>
      <w:proofErr w:type="spellStart"/>
      <w:r>
        <w:rPr>
          <w:rStyle w:val="StrongEmphasis"/>
        </w:rPr>
        <w:t>Боринский</w:t>
      </w:r>
      <w:proofErr w:type="spellEnd"/>
      <w:r>
        <w:rPr>
          <w:rStyle w:val="StrongEmphasis"/>
        </w:rPr>
        <w:t xml:space="preserve"> сельсовет Липецкого муниципального района для формирования проекта бюджета муниципального района на 2018 год и на плановый период 2019 и 2020 годов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p w:rsidR="00B85AB0" w:rsidRDefault="00F67E00">
      <w:pPr>
        <w:pStyle w:val="TextBody"/>
        <w:spacing w:after="0" w:line="240" w:lineRule="auto"/>
        <w:ind w:left="0" w:right="0" w:firstLine="567"/>
        <w:jc w:val="both"/>
      </w:pPr>
      <w:r>
        <w:t>Таблица</w:t>
      </w:r>
    </w:p>
    <w:p w:rsidR="00B85AB0" w:rsidRDefault="00B85AB0">
      <w:pPr>
        <w:pStyle w:val="TextBody"/>
        <w:spacing w:after="0" w:line="240" w:lineRule="auto"/>
        <w:ind w:left="0" w:right="0" w:firstLine="567"/>
        <w:jc w:val="both"/>
      </w:pPr>
    </w:p>
    <w:tbl>
      <w:tblPr>
        <w:tblW w:w="0" w:type="auto"/>
        <w:tblInd w:w="72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28" w:type="dxa"/>
          <w:left w:w="71" w:type="dxa"/>
          <w:bottom w:w="28" w:type="dxa"/>
          <w:right w:w="72" w:type="dxa"/>
        </w:tblCellMar>
        <w:tblLook w:val="0000"/>
      </w:tblPr>
      <w:tblGrid>
        <w:gridCol w:w="583"/>
        <w:gridCol w:w="8001"/>
        <w:gridCol w:w="1806"/>
        <w:gridCol w:w="4818"/>
      </w:tblGrid>
      <w:tr w:rsidR="00B85AB0">
        <w:trPr>
          <w:cantSplit/>
          <w:trHeight w:val="36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Наименование информации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Периоды</w:t>
            </w:r>
          </w:p>
        </w:tc>
        <w:tc>
          <w:tcPr>
            <w:tcW w:w="4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Исполнители</w:t>
            </w:r>
          </w:p>
        </w:tc>
      </w:tr>
      <w:tr w:rsidR="00B85AB0">
        <w:trPr>
          <w:cantSplit/>
          <w:trHeight w:val="84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</w:t>
            </w:r>
          </w:p>
        </w:tc>
        <w:tc>
          <w:tcPr>
            <w:tcW w:w="806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Прогноз налогов, </w:t>
            </w:r>
            <w:proofErr w:type="spellStart"/>
            <w:r>
              <w:t>администрируемых</w:t>
            </w:r>
            <w:proofErr w:type="spellEnd"/>
            <w:r>
              <w:t xml:space="preserve"> налоговыми органами в консолидированный бюджет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8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Межрайонная инспекция ФНС России №5 по Липецкой области</w:t>
            </w:r>
          </w:p>
        </w:tc>
      </w:tr>
      <w:tr w:rsidR="00B85AB0">
        <w:trPr>
          <w:cantSplit/>
          <w:trHeight w:val="84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Оценка </w:t>
            </w:r>
            <w:r>
              <w:t xml:space="preserve">поступлений налогов, </w:t>
            </w:r>
            <w:proofErr w:type="spellStart"/>
            <w:r>
              <w:t>администрируемых</w:t>
            </w:r>
            <w:proofErr w:type="spellEnd"/>
            <w:r>
              <w:t xml:space="preserve"> налоговыми органами в консолидированный бюджет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  <w:trHeight w:val="72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3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Прогноз фонда заработной платы в сельском поселении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за счет резидентов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  <w:bottom w:w="0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Администрация </w:t>
            </w:r>
            <w:r>
              <w:t xml:space="preserve">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B85AB0">
        <w:trPr>
          <w:cantSplit/>
          <w:trHeight w:val="72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4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Оценка фонда заработной платы в сельском поселении, в том числе за счет резидентов</w:t>
            </w:r>
          </w:p>
        </w:tc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71" w:type="dxa"/>
            </w:tcMar>
          </w:tcPr>
          <w:p w:rsidR="00B85AB0" w:rsidRDefault="00B85AB0">
            <w:pPr>
              <w:pStyle w:val="TableContents"/>
              <w:spacing w:after="0" w:line="240" w:lineRule="auto"/>
              <w:ind w:left="0" w:right="0"/>
              <w:jc w:val="both"/>
            </w:pPr>
          </w:p>
        </w:tc>
      </w:tr>
      <w:tr w:rsidR="00B85AB0">
        <w:trPr>
          <w:cantSplit/>
          <w:trHeight w:val="108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5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Информация о прогнозируемых лимитах бюджетных обязательств на оплату </w:t>
            </w:r>
            <w:proofErr w:type="spellStart"/>
            <w:proofErr w:type="gramStart"/>
            <w:r>
              <w:t>топливно</w:t>
            </w:r>
            <w:proofErr w:type="spellEnd"/>
            <w:r>
              <w:t>- энергетических</w:t>
            </w:r>
            <w:proofErr w:type="gramEnd"/>
            <w:r>
              <w:t xml:space="preserve"> ресурсов для бюджетных </w:t>
            </w:r>
            <w:r>
              <w:t xml:space="preserve">учреждений, в том числе для учреждений, в разрезе </w:t>
            </w:r>
            <w:proofErr w:type="spellStart"/>
            <w:r>
              <w:t>топливно</w:t>
            </w:r>
            <w:proofErr w:type="spellEnd"/>
            <w:r>
              <w:t>- энергетических ресурсов</w:t>
            </w:r>
          </w:p>
        </w:tc>
        <w:tc>
          <w:tcPr>
            <w:tcW w:w="18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Комитет энергетики и </w:t>
            </w:r>
            <w:proofErr w:type="spellStart"/>
            <w:proofErr w:type="gramStart"/>
            <w:r>
              <w:t>жилищно</w:t>
            </w:r>
            <w:proofErr w:type="spellEnd"/>
            <w:r>
              <w:t>- коммунального</w:t>
            </w:r>
            <w:proofErr w:type="gramEnd"/>
            <w:r>
              <w:t xml:space="preserve"> хозяйства</w:t>
            </w:r>
          </w:p>
        </w:tc>
      </w:tr>
      <w:tr w:rsidR="00B85AB0">
        <w:trPr>
          <w:cantSplit/>
          <w:trHeight w:val="1080"/>
        </w:trPr>
        <w:tc>
          <w:tcPr>
            <w:tcW w:w="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6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4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Информация по прогнозируемым тарифам на коммунальные услуги для бюджетных учреждений, необходимая </w:t>
            </w:r>
            <w:r>
              <w:t>для расчета коэффициента стоимости коммунальных услуг</w:t>
            </w:r>
          </w:p>
        </w:tc>
        <w:tc>
          <w:tcPr>
            <w:tcW w:w="18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  <w:tc>
          <w:tcPr>
            <w:tcW w:w="485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1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  <w:trHeight w:val="1065"/>
        </w:trPr>
        <w:tc>
          <w:tcPr>
            <w:tcW w:w="5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7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Прогноз доходов от сдачи в аренду имущества, находящегося в оперативном управлении администрации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и созданных ими учреждений (за исключением имущества </w:t>
            </w:r>
            <w:r>
              <w:t>бюджетных и автономных учреждений)</w:t>
            </w:r>
          </w:p>
        </w:tc>
        <w:tc>
          <w:tcPr>
            <w:tcW w:w="1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</w:t>
            </w: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8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Оценка доходов от сдачи в аренду имущества, находящегося в оперативном управлении администрации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и созданных </w:t>
            </w:r>
            <w: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9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Прогноз прочих поступлений от использования имущества, находящегося в собственности сельского поселения (за исключением имущества бюджетных и автономных учреждений)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10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Оценка прочих поступлений от использования имущества, находящегося в собственности сельского поселения </w:t>
            </w:r>
            <w:proofErr w:type="spellStart"/>
            <w:r>
              <w:t>Боринский</w:t>
            </w:r>
            <w:proofErr w:type="spellEnd"/>
            <w:r>
              <w:t xml:space="preserve"> сельсовет (за исключением имущества бюджетных и автономных учреждений, а также имущества муниципальных унитарных предприяти</w:t>
            </w:r>
            <w:r>
              <w:t>й, в том числе казенных)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11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Прогноз доходов от реализации имущества, находящегося в оперативном управлении учреждений, находящихся в ведении администрации сельского поселения (за исключением имущества бюджетных и автономных учреждений), в части </w:t>
            </w:r>
            <w:r>
              <w:t>реализации материальных запасов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12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Оценка доходов от реализации имущества, находящегося в оперативном управлении учреждений, находящихся в ведении администрации сельского поселения (за исключением имущества </w:t>
            </w:r>
            <w:r>
              <w:t>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lastRenderedPageBreak/>
              <w:t>13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Прогноз доходов от реализации иного имущества, находящегося в собственности сельского поселения (за исключением имущества бюджетных и автономн</w:t>
            </w:r>
            <w:r>
              <w:t>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14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Оценка доходов от реализации иного имущества, находящегося в собственности сельского </w:t>
            </w:r>
            <w:r>
              <w:t>поселения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15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 xml:space="preserve">Прогноз доходов от реализации иного </w:t>
            </w:r>
            <w:r>
              <w:t>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2018-2020 годы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  <w:tr w:rsidR="00B85AB0">
        <w:trPr>
          <w:cantSplit/>
        </w:trPr>
        <w:tc>
          <w:tcPr>
            <w:tcW w:w="58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16</w:t>
            </w:r>
          </w:p>
        </w:tc>
        <w:tc>
          <w:tcPr>
            <w:tcW w:w="806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Оценка доходов от реализации иного имущества, находящегося в собственности сельского поселения (за исключением имущества бюджетных и автономных учреждений, а также имущества муниципальных унитарных предприятий, в т.ч. казенных) в части</w:t>
            </w:r>
            <w:r>
              <w:t xml:space="preserve"> реализации материальных запасов по указанному имуществу</w:t>
            </w:r>
          </w:p>
        </w:tc>
        <w:tc>
          <w:tcPr>
            <w:tcW w:w="181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F67E00">
            <w:pPr>
              <w:pStyle w:val="TableContents"/>
              <w:spacing w:after="0" w:line="240" w:lineRule="auto"/>
              <w:ind w:left="0" w:right="0"/>
              <w:jc w:val="both"/>
            </w:pPr>
            <w:r>
              <w:t>2017 год</w:t>
            </w:r>
          </w:p>
        </w:tc>
        <w:tc>
          <w:tcPr>
            <w:tcW w:w="4852" w:type="dxa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AB0" w:rsidRDefault="00B85AB0">
            <w:pPr>
              <w:pStyle w:val="TableContents"/>
              <w:spacing w:line="240" w:lineRule="auto"/>
            </w:pPr>
          </w:p>
        </w:tc>
      </w:tr>
    </w:tbl>
    <w:p w:rsidR="00B85AB0" w:rsidRDefault="00B85AB0">
      <w:pPr>
        <w:pStyle w:val="TextBody"/>
        <w:spacing w:line="240" w:lineRule="auto"/>
      </w:pPr>
    </w:p>
    <w:sectPr w:rsidR="00B85AB0" w:rsidSect="00B85AB0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AB0"/>
    <w:rsid w:val="00B85AB0"/>
    <w:rsid w:val="00F6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AB0"/>
    <w:pPr>
      <w:widowControl w:val="0"/>
      <w:suppressAutoHyphens/>
      <w:spacing w:before="150" w:after="150"/>
      <w:ind w:left="150" w:right="150"/>
    </w:pPr>
    <w:rPr>
      <w:rFonts w:ascii="Arial" w:eastAsia="AR PL UMing HK" w:hAnsi="Arial" w:cs="Lohit Devanagari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TextBody"/>
    <w:rsid w:val="00B85AB0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TextBody"/>
    <w:rsid w:val="00B85AB0"/>
    <w:pPr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rsid w:val="00B85AB0"/>
  </w:style>
  <w:style w:type="character" w:customStyle="1" w:styleId="FootnoteCharacters">
    <w:name w:val="Footnote Characters"/>
    <w:rsid w:val="00B85AB0"/>
  </w:style>
  <w:style w:type="character" w:customStyle="1" w:styleId="InternetLink">
    <w:name w:val="Internet Link"/>
    <w:rsid w:val="00B85AB0"/>
    <w:rPr>
      <w:color w:val="000080"/>
      <w:u w:val="single"/>
    </w:rPr>
  </w:style>
  <w:style w:type="character" w:customStyle="1" w:styleId="StrongEmphasis">
    <w:name w:val="Strong Emphasis"/>
    <w:rsid w:val="00B85AB0"/>
    <w:rPr>
      <w:b/>
      <w:bCs/>
    </w:rPr>
  </w:style>
  <w:style w:type="paragraph" w:customStyle="1" w:styleId="HorizontalLine">
    <w:name w:val="Horizontal Line"/>
    <w:basedOn w:val="a"/>
    <w:next w:val="TextBody"/>
    <w:rsid w:val="00B85AB0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Sender">
    <w:name w:val="Sender"/>
    <w:basedOn w:val="a"/>
    <w:rsid w:val="00B85AB0"/>
    <w:rPr>
      <w:i/>
    </w:rPr>
  </w:style>
  <w:style w:type="paragraph" w:customStyle="1" w:styleId="TableContents">
    <w:name w:val="Table Contents"/>
    <w:basedOn w:val="TextBody"/>
    <w:rsid w:val="00B85AB0"/>
  </w:style>
  <w:style w:type="paragraph" w:customStyle="1" w:styleId="Footer">
    <w:name w:val="Footer"/>
    <w:basedOn w:val="a"/>
    <w:rsid w:val="00B85AB0"/>
    <w:pPr>
      <w:suppressLineNumbers/>
      <w:tabs>
        <w:tab w:val="center" w:pos="4968"/>
        <w:tab w:val="right" w:pos="9787"/>
      </w:tabs>
    </w:pPr>
  </w:style>
  <w:style w:type="paragraph" w:customStyle="1" w:styleId="Header">
    <w:name w:val="Header"/>
    <w:basedOn w:val="a"/>
    <w:rsid w:val="00B85AB0"/>
    <w:pPr>
      <w:suppressLineNumbers/>
      <w:tabs>
        <w:tab w:val="center" w:pos="4968"/>
        <w:tab w:val="right" w:pos="9787"/>
      </w:tabs>
    </w:pPr>
  </w:style>
  <w:style w:type="paragraph" w:customStyle="1" w:styleId="Index">
    <w:name w:val="Index"/>
    <w:basedOn w:val="a"/>
    <w:rsid w:val="00B85AB0"/>
    <w:pPr>
      <w:suppressLineNumbers/>
    </w:pPr>
  </w:style>
  <w:style w:type="paragraph" w:customStyle="1" w:styleId="Caption">
    <w:name w:val="Caption"/>
    <w:basedOn w:val="a"/>
    <w:rsid w:val="00B85AB0"/>
    <w:pPr>
      <w:suppressLineNumbers/>
      <w:spacing w:before="120" w:after="120"/>
    </w:pPr>
    <w:rPr>
      <w:i/>
      <w:iCs/>
    </w:rPr>
  </w:style>
  <w:style w:type="paragraph" w:styleId="a3">
    <w:name w:val="List"/>
    <w:basedOn w:val="TextBody"/>
    <w:rsid w:val="00B85AB0"/>
  </w:style>
  <w:style w:type="paragraph" w:customStyle="1" w:styleId="TextBody">
    <w:name w:val="Text Body"/>
    <w:basedOn w:val="a"/>
    <w:rsid w:val="00B85AB0"/>
    <w:pPr>
      <w:spacing w:before="0" w:after="283"/>
    </w:pPr>
  </w:style>
  <w:style w:type="paragraph" w:customStyle="1" w:styleId="Heading">
    <w:name w:val="Heading"/>
    <w:basedOn w:val="a"/>
    <w:next w:val="TextBody"/>
    <w:rsid w:val="00B85AB0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rsid w:val="00B85AB0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f6e195b-e4ae-4ebc-88c3-6398335949b4.html" TargetMode="External"/><Relationship Id="rId5" Type="http://schemas.openxmlformats.org/officeDocument/2006/relationships/hyperlink" Target="http://dostup.scli.ru:8111/content/act/b192a39f-6add-437e-982e-19f4c2eab93a.html" TargetMode="External"/><Relationship Id="rId4" Type="http://schemas.openxmlformats.org/officeDocument/2006/relationships/hyperlink" Target="http://dostup.scli.ru:8111/content/act/cd8f3b82-fe46-480e-ba8a-77294d5dac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1504</Words>
  <Characters>8575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2017-05-23T11:58:00Z</dcterms:created>
  <dcterms:modified xsi:type="dcterms:W3CDTF">2017-05-23T11:59:00Z</dcterms:modified>
</cp:coreProperties>
</file>