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Default="00BC06F2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777401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</w:t>
      </w:r>
      <w:r w:rsidR="0030081F">
        <w:rPr>
          <w:rFonts w:ascii="Times New Roman" w:hAnsi="Times New Roman"/>
          <w:b/>
          <w:sz w:val="28"/>
          <w:szCs w:val="28"/>
        </w:rPr>
        <w:t xml:space="preserve">ь </w:t>
      </w:r>
      <w:r w:rsidR="00596A6C">
        <w:rPr>
          <w:rFonts w:ascii="Times New Roman" w:hAnsi="Times New Roman"/>
          <w:b/>
          <w:sz w:val="28"/>
          <w:szCs w:val="28"/>
        </w:rPr>
        <w:t>третья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A203B" w:rsidRDefault="004A203B" w:rsidP="003E6E94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Pr="003E6E94" w:rsidRDefault="00BC06F2" w:rsidP="003E6E9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9E361D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 2022 года</w:t>
            </w:r>
          </w:p>
        </w:tc>
        <w:tc>
          <w:tcPr>
            <w:tcW w:w="4531" w:type="dxa"/>
          </w:tcPr>
          <w:p w:rsidR="00BC06F2" w:rsidRDefault="00BC06F2" w:rsidP="00596A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3E6E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E361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3A5BBD" w:rsidRPr="00596A6C" w:rsidRDefault="00596A6C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96A6C">
        <w:rPr>
          <w:rFonts w:ascii="Times New Roman" w:hAnsi="Times New Roman" w:cs="Times New Roman"/>
          <w:b/>
          <w:bCs/>
          <w:shd w:val="clear" w:color="auto" w:fill="FFFFFF"/>
        </w:rPr>
        <w:t xml:space="preserve">Об утверждении Порядка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Боринский</w:t>
      </w:r>
      <w:proofErr w:type="spellEnd"/>
      <w:r w:rsidRPr="00596A6C">
        <w:rPr>
          <w:rFonts w:ascii="Times New Roman" w:hAnsi="Times New Roman" w:cs="Times New Roman"/>
          <w:b/>
          <w:bCs/>
          <w:shd w:val="clear" w:color="auto" w:fill="FFFFFF"/>
        </w:rPr>
        <w:t xml:space="preserve"> сельсовет Липецкого муниципального района Липецкой области</w:t>
      </w:r>
    </w:p>
    <w:p w:rsidR="00596A6C" w:rsidRPr="00596A6C" w:rsidRDefault="00596A6C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96A6C">
        <w:rPr>
          <w:color w:val="000000"/>
          <w:shd w:val="clear" w:color="auto" w:fill="FFFFFF"/>
        </w:rPr>
        <w:t xml:space="preserve">Рассмотрев внесенный главой сельского поселения </w:t>
      </w:r>
      <w:proofErr w:type="spellStart"/>
      <w:r>
        <w:rPr>
          <w:color w:val="000000"/>
          <w:shd w:val="clear" w:color="auto" w:fill="FFFFFF"/>
        </w:rPr>
        <w:t>Боринский</w:t>
      </w:r>
      <w:proofErr w:type="spellEnd"/>
      <w:r w:rsidRPr="00596A6C">
        <w:rPr>
          <w:color w:val="000000"/>
          <w:shd w:val="clear" w:color="auto" w:fill="FFFFFF"/>
        </w:rPr>
        <w:t xml:space="preserve"> сельсовет </w:t>
      </w:r>
      <w:r>
        <w:rPr>
          <w:color w:val="000000"/>
          <w:shd w:val="clear" w:color="auto" w:fill="FFFFFF"/>
        </w:rPr>
        <w:t xml:space="preserve">Липецкого муниципального района Липецкой области </w:t>
      </w:r>
      <w:r w:rsidRPr="00596A6C">
        <w:rPr>
          <w:color w:val="000000"/>
          <w:shd w:val="clear" w:color="auto" w:fill="FFFFFF"/>
        </w:rPr>
        <w:t xml:space="preserve">проект Положения «О порядке организации и проведения публичных слушаний на территории сельского поселения </w:t>
      </w:r>
      <w:proofErr w:type="spellStart"/>
      <w:r>
        <w:rPr>
          <w:color w:val="000000"/>
          <w:shd w:val="clear" w:color="auto" w:fill="FFFFFF"/>
        </w:rPr>
        <w:t>Боринский</w:t>
      </w:r>
      <w:proofErr w:type="spellEnd"/>
      <w:r w:rsidRPr="00596A6C">
        <w:rPr>
          <w:color w:val="000000"/>
          <w:shd w:val="clear" w:color="auto" w:fill="FFFFFF"/>
        </w:rPr>
        <w:t xml:space="preserve"> сельсовет Липецкого муниципального района Липецкой области», руководствуясь Федеральным законом от 06.10.2003 № 131-ФЗ « 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hd w:val="clear" w:color="auto" w:fill="FFFFFF"/>
        </w:rPr>
        <w:t>Боринский</w:t>
      </w:r>
      <w:proofErr w:type="spellEnd"/>
      <w:r w:rsidRPr="00596A6C">
        <w:rPr>
          <w:color w:val="000000"/>
          <w:shd w:val="clear" w:color="auto" w:fill="FFFFFF"/>
        </w:rPr>
        <w:t xml:space="preserve"> сельсовет Липецкого муниципального района Липецкой области Российской Федерации, Совет</w:t>
      </w:r>
      <w:proofErr w:type="gramEnd"/>
      <w:r w:rsidRPr="00596A6C">
        <w:rPr>
          <w:color w:val="000000"/>
          <w:shd w:val="clear" w:color="auto" w:fill="FFFFFF"/>
        </w:rPr>
        <w:t xml:space="preserve"> депутатов сел</w:t>
      </w:r>
      <w:r>
        <w:rPr>
          <w:color w:val="000000"/>
          <w:shd w:val="clear" w:color="auto" w:fill="FFFFFF"/>
        </w:rPr>
        <w:t xml:space="preserve">ьского поселения </w:t>
      </w:r>
      <w:proofErr w:type="spellStart"/>
      <w:r>
        <w:rPr>
          <w:color w:val="000000"/>
          <w:shd w:val="clear" w:color="auto" w:fill="FFFFFF"/>
        </w:rPr>
        <w:t>Боринский</w:t>
      </w:r>
      <w:proofErr w:type="spellEnd"/>
      <w:r w:rsidRPr="00596A6C">
        <w:rPr>
          <w:color w:val="000000"/>
          <w:shd w:val="clear" w:color="auto" w:fill="FFFFFF"/>
        </w:rPr>
        <w:t xml:space="preserve"> сельсовет</w:t>
      </w:r>
      <w:r>
        <w:rPr>
          <w:color w:val="000000"/>
          <w:shd w:val="clear" w:color="auto" w:fill="FFFFFF"/>
        </w:rPr>
        <w:t xml:space="preserve"> Липецкого муниципального района Липецкой области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> 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>РЕШИЛ: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> 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 xml:space="preserve">1. Утвердить порядок организации и проведения публичных слушаний на территории сельского поселения </w:t>
      </w:r>
      <w:proofErr w:type="spellStart"/>
      <w:r>
        <w:rPr>
          <w:color w:val="000000"/>
        </w:rPr>
        <w:t>Боринский</w:t>
      </w:r>
      <w:proofErr w:type="spellEnd"/>
      <w:r w:rsidRPr="00596A6C">
        <w:rPr>
          <w:color w:val="000000"/>
        </w:rPr>
        <w:t xml:space="preserve"> сельсовет Липецкого муниципального района Липецкой области;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>2. Считать утратившим силу решение Совета депутатов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Боринский</w:t>
      </w:r>
      <w:proofErr w:type="spellEnd"/>
      <w:r>
        <w:rPr>
          <w:color w:val="000000"/>
        </w:rPr>
        <w:t xml:space="preserve"> сельсовет Липецкого муниципального района Липецкой области</w:t>
      </w:r>
      <w:r w:rsidRPr="00596A6C">
        <w:rPr>
          <w:color w:val="000000"/>
        </w:rPr>
        <w:t xml:space="preserve"> от </w:t>
      </w:r>
      <w:r>
        <w:rPr>
          <w:color w:val="000000"/>
        </w:rPr>
        <w:t>27.11.2018</w:t>
      </w:r>
      <w:r w:rsidRPr="00596A6C">
        <w:rPr>
          <w:color w:val="000000"/>
        </w:rPr>
        <w:t xml:space="preserve"> года № </w:t>
      </w:r>
      <w:r>
        <w:rPr>
          <w:color w:val="000000"/>
        </w:rPr>
        <w:t xml:space="preserve">343 « О </w:t>
      </w:r>
      <w:proofErr w:type="gramStart"/>
      <w:r>
        <w:rPr>
          <w:color w:val="000000"/>
        </w:rPr>
        <w:t>Положении</w:t>
      </w:r>
      <w:proofErr w:type="gramEnd"/>
      <w:r>
        <w:rPr>
          <w:color w:val="000000"/>
        </w:rPr>
        <w:t xml:space="preserve"> о публичных слу</w:t>
      </w:r>
      <w:r w:rsidR="00FF5B51">
        <w:rPr>
          <w:color w:val="000000"/>
        </w:rPr>
        <w:t>шаниях в сельском  поселении</w:t>
      </w:r>
      <w:r w:rsidRPr="00596A6C">
        <w:rPr>
          <w:color w:val="000000"/>
        </w:rPr>
        <w:t xml:space="preserve"> </w:t>
      </w:r>
      <w:proofErr w:type="spellStart"/>
      <w:r w:rsidR="00FF5B51">
        <w:rPr>
          <w:color w:val="000000"/>
        </w:rPr>
        <w:t>Боринский</w:t>
      </w:r>
      <w:proofErr w:type="spellEnd"/>
      <w:r w:rsidRPr="00596A6C">
        <w:rPr>
          <w:color w:val="000000"/>
        </w:rPr>
        <w:t xml:space="preserve"> сельсовет Липецкого муниципального района Липецкой области»;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>3. Направить настоящее решение главе сельского поселения для подписания и обнародования.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>4. Настоящее решение вступает в силу со дня его официального обнародования.</w:t>
      </w:r>
    </w:p>
    <w:p w:rsidR="00596A6C" w:rsidRPr="00596A6C" w:rsidRDefault="00596A6C" w:rsidP="00596A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96A6C">
        <w:rPr>
          <w:color w:val="000000"/>
        </w:rPr>
        <w:t> </w:t>
      </w:r>
    </w:p>
    <w:p w:rsidR="003A5BBD" w:rsidRPr="00596A6C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596A6C" w:rsidRDefault="003A5BBD" w:rsidP="00596A6C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3E6E94">
        <w:rPr>
          <w:rFonts w:ascii="Times New Roman" w:hAnsi="Times New Roman" w:cs="Times New Roman"/>
          <w:sz w:val="26"/>
          <w:szCs w:val="26"/>
        </w:rPr>
        <w:t> </w:t>
      </w:r>
      <w:r w:rsidRPr="00414A32">
        <w:rPr>
          <w:rFonts w:ascii="Times New Roman" w:hAnsi="Times New Roman" w:cs="Times New Roman"/>
          <w:sz w:val="26"/>
          <w:szCs w:val="26"/>
        </w:rPr>
        <w:t>сельсовет</w:t>
      </w:r>
      <w:r w:rsidR="003E6E94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3E6E94">
        <w:rPr>
          <w:rFonts w:ascii="Times New Roman" w:hAnsi="Times New Roman" w:cs="Times New Roman"/>
          <w:sz w:val="26"/>
          <w:szCs w:val="26"/>
        </w:rPr>
        <w:t>Липецкого</w:t>
      </w:r>
      <w:proofErr w:type="gramEnd"/>
      <w:r w:rsidR="003E6E94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E6E94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 района                                                                     </w:t>
      </w:r>
      <w:r w:rsidR="003A5BBD" w:rsidRPr="00414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В.С.Бунеев</w:t>
      </w:r>
      <w:proofErr w:type="spellEnd"/>
      <w:r w:rsidR="003A5BBD" w:rsidRPr="00414A32">
        <w:rPr>
          <w:rFonts w:ascii="Times New Roman" w:hAnsi="Times New Roman" w:cs="Times New Roman"/>
          <w:sz w:val="26"/>
          <w:szCs w:val="26"/>
        </w:rPr>
        <w:t xml:space="preserve">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="003A5BBD" w:rsidRPr="00414A3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3E6E94" w:rsidRDefault="003E6E94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596A6C" w:rsidRDefault="00596A6C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  Совета депутатов 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от </w:t>
      </w:r>
      <w:r w:rsidR="009E361D">
        <w:rPr>
          <w:rFonts w:ascii="Times New Roman" w:hAnsi="Times New Roman" w:cs="Times New Roman"/>
          <w:sz w:val="26"/>
          <w:szCs w:val="26"/>
        </w:rPr>
        <w:t xml:space="preserve">18 августа 2022 года </w:t>
      </w:r>
      <w:r w:rsidRPr="00693454">
        <w:rPr>
          <w:rFonts w:ascii="Times New Roman" w:hAnsi="Times New Roman" w:cs="Times New Roman"/>
          <w:sz w:val="26"/>
          <w:szCs w:val="26"/>
        </w:rPr>
        <w:t>№</w:t>
      </w:r>
      <w:r w:rsidR="009E361D">
        <w:rPr>
          <w:rFonts w:ascii="Times New Roman" w:hAnsi="Times New Roman" w:cs="Times New Roman"/>
          <w:sz w:val="26"/>
          <w:szCs w:val="26"/>
        </w:rPr>
        <w:t xml:space="preserve"> 98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FF5B51" w:rsidRPr="005428F4" w:rsidRDefault="00FF5B51" w:rsidP="00FF5B51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8F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F5B51" w:rsidRPr="005428F4" w:rsidRDefault="00FF5B51" w:rsidP="00FF5B5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F4">
        <w:rPr>
          <w:rFonts w:ascii="Times New Roman" w:hAnsi="Times New Roman" w:cs="Times New Roman"/>
          <w:b/>
          <w:sz w:val="28"/>
          <w:szCs w:val="28"/>
        </w:rPr>
        <w:t>ОРГАНИЗАЦИИ И ПРОВЕДЕНИЯ ПУБЛИЧНЫХ СЛУШАНИЙ НА 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СЕЛЬСКОГО ПОСЕЛЕНИЯ БОРИНСКИЙ СЕЛЬСОВЕТ </w:t>
      </w:r>
      <w:r w:rsidRPr="005428F4">
        <w:rPr>
          <w:rFonts w:ascii="Times New Roman" w:hAnsi="Times New Roman" w:cs="Times New Roman"/>
          <w:b/>
          <w:sz w:val="28"/>
          <w:szCs w:val="28"/>
        </w:rPr>
        <w:t>ЛИПЕЦКОГО МУНИЦИПАЛЬНОГО РАЙОНА ЛИПЕЦКОЙ ОБЛАСТИ</w:t>
      </w:r>
    </w:p>
    <w:p w:rsidR="00FF5B51" w:rsidRPr="00F06CB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Default="00F06CB1" w:rsidP="00F06CB1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Порядок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Боринский</w:t>
      </w:r>
      <w:proofErr w:type="spellEnd"/>
      <w:r w:rsidRPr="00F0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Липецкого муниципального района Липецкой области (далее - Порядок) разработан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 (далее - Федеральный закон №131-ФЗ), Уставом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F0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Липецкого муниципального района Липецкой области Российской Федерации (далее – Устав муниципального</w:t>
      </w:r>
      <w:proofErr w:type="gramEnd"/>
      <w:r w:rsidRPr="00F0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образования), и устанавливает порядок организации и проведения публичных слушаний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Боринский</w:t>
      </w:r>
      <w:proofErr w:type="spellEnd"/>
      <w:r w:rsidRPr="00F06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Липецкого муниципального района Липецкой области (далее – муниципальное образование) и направлено на реализацию права жителей муниципального образования на осуществление местного самоуправления посредством участия в публичных слушаниях.</w:t>
      </w:r>
    </w:p>
    <w:p w:rsidR="00F06CB1" w:rsidRPr="00F06CB1" w:rsidRDefault="00F06CB1" w:rsidP="00F06CB1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5B51" w:rsidRPr="005428F4" w:rsidRDefault="00FF5B51" w:rsidP="00FF5B51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28F4">
        <w:rPr>
          <w:rFonts w:ascii="Times New Roman" w:hAnsi="Times New Roman" w:cs="Times New Roman"/>
          <w:b/>
          <w:sz w:val="28"/>
          <w:szCs w:val="28"/>
        </w:rPr>
        <w:t xml:space="preserve">Глава I. ОБЩИЕ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F5B51" w:rsidRPr="00453F3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18B7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FF5B51" w:rsidRPr="005A18B7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1560C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1) 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1560C">
        <w:rPr>
          <w:rFonts w:ascii="Times New Roman" w:hAnsi="Times New Roman" w:cs="Times New Roman"/>
          <w:sz w:val="28"/>
          <w:szCs w:val="28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</w:t>
      </w:r>
      <w:r w:rsidRPr="005A18B7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– представители инициативной группы жителей муниципального образования, депутаты представительного органа муниципального образования, глава муниципального образования, </w:t>
      </w:r>
      <w:r w:rsidRPr="005A18B7">
        <w:rPr>
          <w:rFonts w:ascii="Times New Roman" w:hAnsi="Times New Roman" w:cs="Times New Roman"/>
          <w:sz w:val="28"/>
          <w:szCs w:val="28"/>
        </w:rPr>
        <w:lastRenderedPageBreak/>
        <w:t>должностные лица администрации муниципального образования, специалисты и эксперты, привлеченные организатором публичных слушаний, представители общественных организаций, другие жители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60C">
        <w:rPr>
          <w:rFonts w:ascii="Times New Roman" w:hAnsi="Times New Roman" w:cs="Times New Roman"/>
          <w:sz w:val="28"/>
          <w:szCs w:val="28"/>
        </w:rPr>
        <w:t>пожелавшие принять участие в публичных слушаниях;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 - </w:t>
      </w:r>
      <w:r w:rsidRPr="00086942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6942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образования,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69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а также инициативная группа совершеннолетних граждан, </w:t>
      </w:r>
      <w:r w:rsidRPr="005A18B7">
        <w:rPr>
          <w:rFonts w:ascii="Times New Roman" w:hAnsi="Times New Roman" w:cs="Times New Roman"/>
          <w:sz w:val="28"/>
          <w:szCs w:val="28"/>
        </w:rPr>
        <w:t>обладающих избирательным правом на выборах в органы местного самоуправления, выступившая с инициативо</w:t>
      </w:r>
      <w:r>
        <w:rPr>
          <w:rFonts w:ascii="Times New Roman" w:hAnsi="Times New Roman" w:cs="Times New Roman"/>
          <w:sz w:val="28"/>
          <w:szCs w:val="28"/>
        </w:rPr>
        <w:t>й проведения публичных слушаний;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</w:t>
      </w:r>
      <w:r w:rsidRPr="00E77EDC">
        <w:rPr>
          <w:rFonts w:ascii="Times New Roman" w:hAnsi="Times New Roman" w:cs="Times New Roman"/>
          <w:sz w:val="28"/>
          <w:szCs w:val="28"/>
        </w:rPr>
        <w:t>рганизатор публичных слушаний – представительный орган муниципального образования – в случае назначения публичных слушаний представительным органом муниципального образования или населением, глава муниципального образования – в случае назначения публичных слушаний главой 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6) итоговый документ публичных слушаний - </w:t>
      </w:r>
      <w:r w:rsidRPr="00454347">
        <w:rPr>
          <w:rFonts w:ascii="Times New Roman" w:hAnsi="Times New Roman" w:cs="Times New Roman"/>
          <w:sz w:val="28"/>
          <w:szCs w:val="28"/>
        </w:rPr>
        <w:t>документ, принимаемый по итогам публичных слушаний, включающий мотивированное обоснование принятых решений, носящий рекомендательный характер для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976196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6196">
        <w:rPr>
          <w:rFonts w:ascii="Times New Roman" w:hAnsi="Times New Roman" w:cs="Times New Roman"/>
          <w:b/>
          <w:sz w:val="28"/>
          <w:szCs w:val="28"/>
        </w:rPr>
        <w:t>Статья 2. Цели проведения публичных слушаний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Pr="00C84AF3">
        <w:rPr>
          <w:rFonts w:ascii="Times New Roman" w:hAnsi="Times New Roman" w:cs="Times New Roman"/>
          <w:sz w:val="28"/>
          <w:szCs w:val="28"/>
        </w:rPr>
        <w:t>по инициативе населения муниципального образования, представительного органа муниципального образования,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Pr="0061560C">
        <w:rPr>
          <w:rFonts w:ascii="Times New Roman" w:hAnsi="Times New Roman" w:cs="Times New Roman"/>
          <w:sz w:val="28"/>
          <w:szCs w:val="28"/>
        </w:rPr>
        <w:t xml:space="preserve">в целях обсуждения проектов муниципальных правовых актов по вопросам местного значения с участием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для выявления, учета мнений и интересов населения, доведения до населения полной и точной информации о проектах.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5B51" w:rsidRPr="00976196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6196">
        <w:rPr>
          <w:rFonts w:ascii="Times New Roman" w:hAnsi="Times New Roman" w:cs="Times New Roman"/>
          <w:b/>
          <w:sz w:val="28"/>
          <w:szCs w:val="28"/>
        </w:rPr>
        <w:t>Статья 3. Право граждан на участие в публичных слушаниях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FD5517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560C">
        <w:rPr>
          <w:rFonts w:ascii="Times New Roman" w:hAnsi="Times New Roman" w:cs="Times New Roman"/>
          <w:sz w:val="28"/>
          <w:szCs w:val="28"/>
        </w:rPr>
        <w:t xml:space="preserve">В публичных слушаниях принимают участие граждане, достигшие 18 лет на день проведения публичных слушаний, </w:t>
      </w:r>
      <w:r w:rsidRPr="00FD5517">
        <w:rPr>
          <w:rFonts w:ascii="Times New Roman" w:hAnsi="Times New Roman" w:cs="Times New Roman"/>
          <w:sz w:val="28"/>
          <w:szCs w:val="28"/>
        </w:rPr>
        <w:t>обладающие активным избирательным правом, проживающие на территории муниципального образования и (или) правообладатели находящихся в границах этой территориальной зоны земельных участков или расположенных на них объектов капитального строительства и иных заинтересованных лиц.</w:t>
      </w:r>
      <w:proofErr w:type="gramEnd"/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2. Участие граждан в публичных слушаниях является свободным и добровольным.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3. Ограничивать право граждан на участие в публичных слушаниях в зависимости от пола, расы, национальности, языка, происхождения, имущественного и должностного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отношения к религии, </w:t>
      </w:r>
      <w:r w:rsidRPr="0061560C">
        <w:rPr>
          <w:rFonts w:ascii="Times New Roman" w:hAnsi="Times New Roman" w:cs="Times New Roman"/>
          <w:sz w:val="28"/>
          <w:szCs w:val="28"/>
        </w:rPr>
        <w:lastRenderedPageBreak/>
        <w:t>убеждений, принадлежности к объединениям запрещается.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5B51" w:rsidRPr="00976196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6196">
        <w:rPr>
          <w:rFonts w:ascii="Times New Roman" w:hAnsi="Times New Roman" w:cs="Times New Roman"/>
          <w:b/>
          <w:sz w:val="28"/>
          <w:szCs w:val="28"/>
        </w:rPr>
        <w:t>Статья 4. Гласность проведения публичных слушаний</w:t>
      </w:r>
    </w:p>
    <w:p w:rsidR="00FF5B51" w:rsidRPr="00976196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обстановке открытости и гласности. На них приглашаются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представители органов государственной власти и местного самоуправления, руководители предприятий, учреждений,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общественных организаций.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056E82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6E82">
        <w:rPr>
          <w:rFonts w:ascii="Times New Roman" w:hAnsi="Times New Roman" w:cs="Times New Roman"/>
          <w:b/>
          <w:sz w:val="28"/>
          <w:szCs w:val="28"/>
        </w:rPr>
        <w:t>Статья 5. Вопросы, выносимые на публичные слушания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1. На публичные слушания в обязательном порядке выносятся: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60C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7">
        <w:r w:rsidRPr="00056E8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56E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8">
        <w:r w:rsidRPr="00056E8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56E82">
        <w:rPr>
          <w:rFonts w:ascii="Times New Roman" w:hAnsi="Times New Roman" w:cs="Times New Roman"/>
          <w:sz w:val="28"/>
          <w:szCs w:val="28"/>
        </w:rPr>
        <w:t xml:space="preserve"> Липецкой области или законов Липецкой области в целях приведения </w:t>
      </w:r>
      <w:hyperlink r:id="rId9">
        <w:r w:rsidRPr="00056E8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56E82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актами;</w:t>
      </w:r>
      <w:proofErr w:type="gramEnd"/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и отчет о его исполнении;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61560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1560C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10">
        <w:r w:rsidRPr="00056E8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6156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560C">
        <w:rPr>
          <w:rFonts w:ascii="Times New Roman" w:hAnsi="Times New Roman" w:cs="Times New Roman"/>
          <w:sz w:val="28"/>
          <w:szCs w:val="28"/>
        </w:rPr>
        <w:t xml:space="preserve"> 131-ФЗ для преобразования </w:t>
      </w:r>
      <w:r w:rsidRPr="00056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1560C">
        <w:rPr>
          <w:rFonts w:ascii="Times New Roman" w:hAnsi="Times New Roman" w:cs="Times New Roman"/>
          <w:sz w:val="28"/>
          <w:szCs w:val="28"/>
        </w:rPr>
        <w:t xml:space="preserve">требуется получение согласия населения, выраженного путем </w:t>
      </w:r>
      <w:proofErr w:type="gramStart"/>
      <w:r w:rsidRPr="0061560C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61560C"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2. Публичные слушания по проектам в области градостроительной деятельности организуются и проводятся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56E8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1">
        <w:r w:rsidRPr="00056E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560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61560C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3624D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624D">
        <w:rPr>
          <w:rFonts w:ascii="Times New Roman" w:hAnsi="Times New Roman" w:cs="Times New Roman"/>
          <w:b/>
          <w:sz w:val="28"/>
          <w:szCs w:val="28"/>
        </w:rPr>
        <w:t>Статья 6. Инициатива о проведении публичных слушаний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Совета депутатов </w:t>
      </w:r>
      <w:r w:rsidRPr="006405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560C">
        <w:rPr>
          <w:rFonts w:ascii="Times New Roman" w:hAnsi="Times New Roman" w:cs="Times New Roman"/>
          <w:sz w:val="28"/>
          <w:szCs w:val="28"/>
        </w:rPr>
        <w:t xml:space="preserve">далее - Совет депутатов),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От имени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61560C">
        <w:rPr>
          <w:rFonts w:ascii="Times New Roman" w:hAnsi="Times New Roman" w:cs="Times New Roman"/>
          <w:sz w:val="28"/>
          <w:szCs w:val="28"/>
        </w:rPr>
        <w:lastRenderedPageBreak/>
        <w:t>публичных слушаний могут инициировать:</w:t>
      </w:r>
    </w:p>
    <w:p w:rsidR="00FF5B51" w:rsidRPr="0042020E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группа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60C">
        <w:rPr>
          <w:rFonts w:ascii="Times New Roman" w:hAnsi="Times New Roman" w:cs="Times New Roman"/>
          <w:sz w:val="28"/>
          <w:szCs w:val="28"/>
        </w:rPr>
        <w:t xml:space="preserve"> </w:t>
      </w:r>
      <w:r w:rsidRPr="004C39CF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муниципального образования и (или) правообладатели находящихся в границах этой территориальной зоны земельных участков или расположенных на них объектов капитального строительства</w:t>
      </w:r>
      <w:r w:rsidRPr="004C39CF">
        <w:t xml:space="preserve"> </w:t>
      </w:r>
      <w:r w:rsidRPr="004C39CF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D5517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FD5517" w:rsidRPr="00FD5517">
        <w:rPr>
          <w:rFonts w:ascii="Times New Roman" w:hAnsi="Times New Roman" w:cs="Times New Roman"/>
          <w:sz w:val="28"/>
          <w:szCs w:val="28"/>
        </w:rPr>
        <w:t>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- избирательные и иные общественные объединения,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местные и региональные отделения партий, профессиональных и творческих союзов, действующие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- органы территориального общественного самоуправления.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E6CCE">
        <w:rPr>
          <w:rFonts w:ascii="Times New Roman" w:hAnsi="Times New Roman" w:cs="Times New Roman"/>
          <w:sz w:val="28"/>
          <w:szCs w:val="28"/>
        </w:rPr>
        <w:t>Для назначения публичных слушаний по инициативе населения инициативная группа представляет в Совет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E6CCE">
        <w:rPr>
          <w:rFonts w:ascii="Times New Roman" w:hAnsi="Times New Roman" w:cs="Times New Roman"/>
          <w:sz w:val="28"/>
          <w:szCs w:val="28"/>
        </w:rPr>
        <w:t>заявление о проведении публичных слушаний с указанием обсуждаемого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B675CC">
        <w:rPr>
          <w:rFonts w:ascii="Times New Roman" w:hAnsi="Times New Roman" w:cs="Times New Roman"/>
          <w:sz w:val="28"/>
          <w:szCs w:val="28"/>
        </w:rPr>
        <w:t>протокол о создании инициативной группы с указанием сведений о членах инициативной группы (Ф.И.О., дата рождения, серия и номер паспорта гражданина или документа, заменяющего паспорт гражданина, адрес места жительства, личная подпись)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DE6CCE">
        <w:rPr>
          <w:rFonts w:ascii="Times New Roman" w:hAnsi="Times New Roman" w:cs="Times New Roman"/>
          <w:sz w:val="28"/>
          <w:szCs w:val="28"/>
        </w:rPr>
        <w:t>подписной лист инициативной группы по форме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Порядку.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1560C">
        <w:rPr>
          <w:rFonts w:ascii="Times New Roman" w:hAnsi="Times New Roman" w:cs="Times New Roman"/>
          <w:sz w:val="28"/>
          <w:szCs w:val="28"/>
        </w:rPr>
        <w:t xml:space="preserve">Количество подписей, которое необходимо собрать инициативной группе в поддержку инициативы проведения публичных слушаний от имени населения,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61560C">
        <w:rPr>
          <w:rFonts w:ascii="Times New Roman" w:hAnsi="Times New Roman" w:cs="Times New Roman"/>
          <w:sz w:val="28"/>
          <w:szCs w:val="28"/>
        </w:rPr>
        <w:t>% от числа жителей, обладающи</w:t>
      </w:r>
      <w:r>
        <w:rPr>
          <w:rFonts w:ascii="Times New Roman" w:hAnsi="Times New Roman" w:cs="Times New Roman"/>
          <w:sz w:val="28"/>
          <w:szCs w:val="28"/>
        </w:rPr>
        <w:t xml:space="preserve">х активным избирательным правом, </w:t>
      </w:r>
      <w:r w:rsidRPr="002D6900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муниципального образования</w:t>
      </w:r>
      <w:r w:rsidRPr="002D6900">
        <w:t xml:space="preserve"> </w:t>
      </w:r>
      <w:r w:rsidRPr="00E32337">
        <w:rPr>
          <w:rFonts w:ascii="Times New Roman" w:hAnsi="Times New Roman" w:cs="Times New Roman"/>
          <w:sz w:val="28"/>
          <w:szCs w:val="28"/>
        </w:rPr>
        <w:t>и (или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2337">
        <w:rPr>
          <w:rFonts w:ascii="Times New Roman" w:hAnsi="Times New Roman" w:cs="Times New Roman"/>
          <w:sz w:val="28"/>
          <w:szCs w:val="28"/>
        </w:rPr>
        <w:t xml:space="preserve"> правообладатели находящихся в границах этой территориальной зоны земельных участков или расположенных на них объектов капитального строител</w:t>
      </w:r>
      <w:r>
        <w:rPr>
          <w:rFonts w:ascii="Times New Roman" w:hAnsi="Times New Roman" w:cs="Times New Roman"/>
          <w:sz w:val="28"/>
          <w:szCs w:val="28"/>
        </w:rPr>
        <w:t>ьства.</w:t>
      </w:r>
      <w:proofErr w:type="gramEnd"/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56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560C">
        <w:rPr>
          <w:rFonts w:ascii="Times New Roman" w:hAnsi="Times New Roman" w:cs="Times New Roman"/>
          <w:sz w:val="28"/>
          <w:szCs w:val="28"/>
        </w:rPr>
        <w:t>Подписные листы должны содержать: фамилию, имя, отчество лица, поддерживающего инициативу, дату рождения, адрес места жительства, контактный телефон, серию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60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, наименование подразделения и</w:t>
      </w:r>
      <w:r w:rsidRPr="0061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дату выдачи </w:t>
      </w:r>
      <w:r w:rsidRPr="0061560C">
        <w:rPr>
          <w:rFonts w:ascii="Times New Roman" w:hAnsi="Times New Roman" w:cs="Times New Roman"/>
          <w:sz w:val="28"/>
          <w:szCs w:val="28"/>
        </w:rPr>
        <w:t xml:space="preserve">паспорта гражданина или документа, заменяющего паспорт гражданина, дату подписи, собственноручную подпись. </w:t>
      </w:r>
      <w:proofErr w:type="gramEnd"/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По окончании сбора подписей все подписные листы брошюруются, нумеруются, прошиваются.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Обращение инициативной группы по проведению публичных слушаний рассматривается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Pr="0061560C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По результатам рассмотрения обращения Совет депутатов принимает решение о назначении публичных слушаний или обоснованно отказывает в их назначении.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принимается на сессии </w:t>
      </w:r>
      <w:r w:rsidRPr="0061560C">
        <w:rPr>
          <w:rFonts w:ascii="Times New Roman" w:hAnsi="Times New Roman" w:cs="Times New Roman"/>
          <w:sz w:val="28"/>
          <w:szCs w:val="28"/>
        </w:rPr>
        <w:lastRenderedPageBreak/>
        <w:t>Совета депутатов большинством голосов от установленного числа депутатов.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Основаниями к отказу в назначении публичных слушаний могут быть: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- недопустимость в соответствии с федеральными законами, законами Липецкой области, </w:t>
      </w:r>
      <w:hyperlink r:id="rId12">
        <w:r w:rsidRPr="003379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вопросу, предлагаемому населением для вынесения на публичные слушания;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- нарушение установленного настоящим </w:t>
      </w:r>
      <w:r>
        <w:rPr>
          <w:rFonts w:ascii="Times New Roman" w:hAnsi="Times New Roman" w:cs="Times New Roman"/>
          <w:sz w:val="28"/>
          <w:szCs w:val="28"/>
        </w:rPr>
        <w:t>Порядко</w:t>
      </w:r>
      <w:r w:rsidRPr="0061560C">
        <w:rPr>
          <w:rFonts w:ascii="Times New Roman" w:hAnsi="Times New Roman" w:cs="Times New Roman"/>
          <w:sz w:val="28"/>
          <w:szCs w:val="28"/>
        </w:rPr>
        <w:t>м порядка осуществления инициативы проведения публичных слушаний.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1903F6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03F6">
        <w:rPr>
          <w:rFonts w:ascii="Times New Roman" w:hAnsi="Times New Roman" w:cs="Times New Roman"/>
          <w:b/>
          <w:sz w:val="28"/>
          <w:szCs w:val="28"/>
        </w:rPr>
        <w:t>Статья 7. Проверка достоверности подписей жителей в подписных листах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1903F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Pr="001903F6">
        <w:rPr>
          <w:rFonts w:ascii="Times New Roman" w:hAnsi="Times New Roman" w:cs="Times New Roman"/>
          <w:sz w:val="28"/>
          <w:szCs w:val="28"/>
        </w:rPr>
        <w:t xml:space="preserve">привлечением специалистов, экспертов и представителей инициаторов публичных слушаний </w:t>
      </w:r>
      <w:r w:rsidRPr="0061560C">
        <w:rPr>
          <w:rFonts w:ascii="Times New Roman" w:hAnsi="Times New Roman" w:cs="Times New Roman"/>
          <w:sz w:val="28"/>
          <w:szCs w:val="28"/>
        </w:rPr>
        <w:t>подлежат не менее 20 процентов от общего числа подписей.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2. Если при проверке подписей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обнаруживается несколько подписей одного и того же лица, учитывается только одна подпись.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3. Недостоверными считаются: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- подписи лиц, не обладающих активным избирательным правом, а также подписи лиц, указавших в подписном листе сведения, не соответствующие действительности;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- подписи лиц без указания каких-либо из требуемых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</w:t>
      </w:r>
      <w:r w:rsidRPr="0061560C">
        <w:rPr>
          <w:rFonts w:ascii="Times New Roman" w:hAnsi="Times New Roman" w:cs="Times New Roman"/>
          <w:sz w:val="28"/>
          <w:szCs w:val="28"/>
        </w:rPr>
        <w:t xml:space="preserve">м сведений либо без указания даты собственноручного внесения жителем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своей подписи в подписной лист;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- подписи лиц с исправлением в дате ее внесения в подписной лист, если это исправление специально не оговорено гражданином.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4. В случае обнаружения недостоверных подписей в количестве более 25 процентов от числа проверенных подписей Совет депутатов принимает решение об отказе в назначении публичных слушаний по инициативе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725B1E" w:rsidRDefault="00FF5B51" w:rsidP="00FF5B51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t xml:space="preserve">Глава II. ПОРЯДОК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25B1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5428F4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28F4">
        <w:rPr>
          <w:rFonts w:ascii="Times New Roman" w:hAnsi="Times New Roman" w:cs="Times New Roman"/>
          <w:b/>
          <w:sz w:val="28"/>
          <w:szCs w:val="28"/>
        </w:rPr>
        <w:t>Статья 8. Организация и подготовка проведения публичных слушаний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или Совета депутатов, назначаются решением Совета депутатов, а по инициативе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1560C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1560C">
        <w:rPr>
          <w:rFonts w:ascii="Times New Roman" w:hAnsi="Times New Roman" w:cs="Times New Roman"/>
          <w:sz w:val="28"/>
          <w:szCs w:val="28"/>
        </w:rPr>
        <w:t xml:space="preserve">(далее - решение о </w:t>
      </w:r>
      <w:r w:rsidRPr="0061560C">
        <w:rPr>
          <w:rFonts w:ascii="Times New Roman" w:hAnsi="Times New Roman" w:cs="Times New Roman"/>
          <w:sz w:val="28"/>
          <w:szCs w:val="28"/>
        </w:rPr>
        <w:lastRenderedPageBreak/>
        <w:t>назначении публичных слушаний).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2. В решении о назначении публичных слушаний указываются: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1) сведения об инициаторе публичных слушаний;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1560C">
        <w:rPr>
          <w:rFonts w:ascii="Times New Roman" w:hAnsi="Times New Roman" w:cs="Times New Roman"/>
          <w:sz w:val="28"/>
          <w:szCs w:val="28"/>
        </w:rPr>
        <w:t>наименование выносимого на публичные слушания проекта муниципального правового акта;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3) информация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4) сроки и контактная информация (почтовый и электронный адрес, номер телефона) для подачи замечаний и предложений участниками публичных слушаний по проектам муниципальных правовых актов, выносимым на публичные слушания, а также заявок на участие в публичных слушаниях;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61560C">
        <w:rPr>
          <w:rFonts w:ascii="Times New Roman" w:hAnsi="Times New Roman" w:cs="Times New Roman"/>
          <w:sz w:val="28"/>
          <w:szCs w:val="28"/>
        </w:rPr>
        <w:t>уполномоченный</w:t>
      </w:r>
      <w:r w:rsidRPr="00D976C4">
        <w:rPr>
          <w:rFonts w:ascii="Times New Roman" w:hAnsi="Times New Roman" w:cs="Times New Roman"/>
          <w:sz w:val="28"/>
          <w:szCs w:val="28"/>
        </w:rPr>
        <w:t xml:space="preserve"> орган, ответственный за организацию 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560C">
        <w:rPr>
          <w:rFonts w:ascii="Times New Roman" w:hAnsi="Times New Roman" w:cs="Times New Roman"/>
          <w:sz w:val="28"/>
          <w:szCs w:val="28"/>
        </w:rPr>
        <w:t>) дата, время и место проведения публичных слушаний.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1560C">
        <w:rPr>
          <w:rFonts w:ascii="Times New Roman" w:hAnsi="Times New Roman" w:cs="Times New Roman"/>
          <w:sz w:val="28"/>
          <w:szCs w:val="28"/>
        </w:rPr>
        <w:t>При назначении публичных слушаний Советом депутатов организационно-техническое и информационное обеспечение проведения публичных слушаний возлагается на Совет депутатов.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При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1560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проведения публичных слушаний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5. В число мер, обеспечивающих подготовку и проведение публичных слушаний, входит: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- информирование населения о ходе подготовки публичных слушаний;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1560C">
        <w:rPr>
          <w:rFonts w:ascii="Times New Roman" w:hAnsi="Times New Roman" w:cs="Times New Roman"/>
          <w:sz w:val="28"/>
          <w:szCs w:val="28"/>
        </w:rPr>
        <w:t>привлечение экспертов и специалистов для выполнения консультационных и экспертных работ;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1560C">
        <w:rPr>
          <w:rFonts w:ascii="Times New Roman" w:hAnsi="Times New Roman" w:cs="Times New Roman"/>
          <w:sz w:val="28"/>
          <w:szCs w:val="28"/>
        </w:rPr>
        <w:t>анализ материалов, представленных инициаторами проведения публичных слушаний;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- подготовка заключений по представленным материалам;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- подготовка проектов решений, предлагаемых на публичных слушаниях.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6.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560C">
        <w:rPr>
          <w:rFonts w:ascii="Times New Roman" w:hAnsi="Times New Roman" w:cs="Times New Roman"/>
          <w:sz w:val="28"/>
          <w:szCs w:val="28"/>
        </w:rPr>
        <w:t xml:space="preserve"> депутатов,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, ответственными за подготовку и проведение слушаний.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Для подготовки проектов указанных документов распоряжением председателя Совета депутатов,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1560C">
        <w:rPr>
          <w:rFonts w:ascii="Times New Roman" w:hAnsi="Times New Roman" w:cs="Times New Roman"/>
          <w:sz w:val="28"/>
          <w:szCs w:val="28"/>
        </w:rPr>
        <w:t xml:space="preserve">могут быть образованы рабочие группы с привлечением работников аппарата Совета депутатов,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, а также независимых экспертов.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lastRenderedPageBreak/>
        <w:t>8. Срок проведения публичных слушаний со дня опубликования решения о назначении публичных слушаний составляет: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- по проекту Устава муниципального образования, проекту решения о внесении изменений и дополнений в Устав муниципального образования - не менее 30 дней;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- по проекту бюджета муниципального образования, по проекту правового акта об утверждении отчета об исполнении бюджета муниципального образования - не менее 7 дней и не более пятнадцати 15 дней;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- в иных случаях - не менее 15 дней и не более 30 дней, если иное не установлено действующим законодательством.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9. В период размещения проекта, подлежащего рассмотрению на публичных слушаниях, участники публичных слушаний, имеют право вносить предложения и замечания, касающиеся такого проекта: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1) в письменной или устной форме в ходе проведения публичных слушаний;</w:t>
      </w:r>
    </w:p>
    <w:p w:rsidR="00FF5B51" w:rsidRPr="001B3DA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B93CBB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CBB">
        <w:rPr>
          <w:rFonts w:ascii="Times New Roman" w:hAnsi="Times New Roman" w:cs="Times New Roman"/>
          <w:b/>
          <w:sz w:val="28"/>
          <w:szCs w:val="28"/>
        </w:rPr>
        <w:t>Статья 9. Информирование населения о проведении публичных слушаний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264F40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60C"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должно приниматься не менее чем </w:t>
      </w:r>
      <w:r w:rsidRPr="00264F4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64F40">
        <w:rPr>
          <w:rFonts w:ascii="Times New Roman" w:hAnsi="Times New Roman" w:cs="Times New Roman"/>
          <w:sz w:val="28"/>
          <w:szCs w:val="28"/>
        </w:rPr>
        <w:t xml:space="preserve"> дней до даты рассмотрения соответствующим органом или должностным лицом проекта муниципального правового акта.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40">
        <w:rPr>
          <w:rFonts w:ascii="Times New Roman" w:hAnsi="Times New Roman" w:cs="Times New Roman"/>
          <w:sz w:val="28"/>
          <w:szCs w:val="28"/>
        </w:rPr>
        <w:t xml:space="preserve">2. Решение о назначении публичных слушаний подлежит обязательному обнародованию и размещению на официальном сайте органов местного самоуправления муниципального образования в информационно-телекоммуникационной сети «Интернет» не </w:t>
      </w:r>
      <w:proofErr w:type="gramStart"/>
      <w:r w:rsidRPr="00264F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4F40">
        <w:rPr>
          <w:rFonts w:ascii="Times New Roman" w:hAnsi="Times New Roman" w:cs="Times New Roman"/>
          <w:sz w:val="28"/>
          <w:szCs w:val="28"/>
        </w:rPr>
        <w:t xml:space="preserve"> чем за 7 дней до проведения публичных слушаний. 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Одновременно с решением о назначении публичных слушаний опубликованию подлежит проект выносимого на обсуждение муниципального правового акта или краткая информация о нем с указанием места (адрес) и времени (дни и часы), в которые возможно ознакомиться с проектом.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9A59BC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59BC">
        <w:rPr>
          <w:rFonts w:ascii="Times New Roman" w:hAnsi="Times New Roman" w:cs="Times New Roman"/>
          <w:b/>
          <w:sz w:val="28"/>
          <w:szCs w:val="28"/>
        </w:rPr>
        <w:t>Статья 10. Проведение публичных слушаний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Публичные слушания, инициированные населением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или Советом депутатов, ведет председатель Совета депутатов либо его заместитель. Слуш</w:t>
      </w:r>
      <w:r>
        <w:rPr>
          <w:rFonts w:ascii="Times New Roman" w:hAnsi="Times New Roman" w:cs="Times New Roman"/>
          <w:sz w:val="28"/>
          <w:szCs w:val="28"/>
        </w:rPr>
        <w:t>ания, проводимые по инициативе 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ведет соответственно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1560C">
        <w:rPr>
          <w:rFonts w:ascii="Times New Roman" w:hAnsi="Times New Roman" w:cs="Times New Roman"/>
          <w:sz w:val="28"/>
          <w:szCs w:val="28"/>
        </w:rPr>
        <w:t xml:space="preserve">или должностное лицо, исполняющее его обязанности в соответствии с </w:t>
      </w:r>
      <w:hyperlink r:id="rId13">
        <w:r w:rsidRPr="00A60C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61560C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председательствующий).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Перед началом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60C">
        <w:rPr>
          <w:rFonts w:ascii="Times New Roman" w:hAnsi="Times New Roman" w:cs="Times New Roman"/>
          <w:sz w:val="28"/>
          <w:szCs w:val="28"/>
        </w:rPr>
        <w:t xml:space="preserve"> его участников.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3. Порядок ведения слушаний определяет председательствующий.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4. Для ведения протокола из числа присутствующих избирается секретарь.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1560C">
        <w:rPr>
          <w:rFonts w:ascii="Times New Roman" w:hAnsi="Times New Roman" w:cs="Times New Roman"/>
          <w:sz w:val="28"/>
          <w:szCs w:val="28"/>
        </w:rPr>
        <w:t>Для организации прений председательствующий объявляет порядок выступлений участников публичных слушаний.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6. Первым для выступления предоставляется слово докладчику инициатора публичных слушаний, который излагает предмет правового регулирования и концепцию вынесенного на обсуждение проекта муниципального правового акта.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Для обоснования позиций председательствующим предоставляется слово участникам публичных слушаний, направившим </w:t>
      </w:r>
      <w:r>
        <w:rPr>
          <w:rFonts w:ascii="Times New Roman" w:hAnsi="Times New Roman" w:cs="Times New Roman"/>
          <w:sz w:val="28"/>
          <w:szCs w:val="28"/>
        </w:rPr>
        <w:t>замечания и</w:t>
      </w:r>
      <w:r w:rsidRPr="0061560C">
        <w:rPr>
          <w:rFonts w:ascii="Times New Roman" w:hAnsi="Times New Roman" w:cs="Times New Roman"/>
          <w:sz w:val="28"/>
          <w:szCs w:val="28"/>
        </w:rPr>
        <w:t xml:space="preserve"> предложения по проекту вынесенного на публичные слушания проекта муниципального правового акта и изъявившим желание выступить на публичных слушаниях.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8. Предложения и замечания по вопросу публичных слушаний, поступившие в письменной форме, подлежат рассмотрению на публичных слушаниях и включаются в протокол публичных слушаний.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9. В протоколе публичных слушаний указывается: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 xml:space="preserve">- дата, время и место проведения, 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 xml:space="preserve">- число присутствующих на публичных слушаниях, 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- фамилия, имя, отчество председателя и секретаря;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</w:pPr>
      <w:r w:rsidRPr="004F3E24">
        <w:rPr>
          <w:rFonts w:ascii="Times New Roman" w:hAnsi="Times New Roman" w:cs="Times New Roman"/>
          <w:sz w:val="28"/>
          <w:szCs w:val="28"/>
        </w:rPr>
        <w:t>- информация об организаторе публичных слушаний;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t>-</w:t>
      </w:r>
      <w:r w:rsidRPr="004F3E24">
        <w:rPr>
          <w:rFonts w:ascii="Times New Roman" w:hAnsi="Times New Roman" w:cs="Times New Roman"/>
          <w:sz w:val="28"/>
          <w:szCs w:val="28"/>
        </w:rPr>
        <w:t> дата и место обнародования информации, о начале публичных слушаний, размещения ее в информационно-телекоммуникационной сети «Интернет»;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- информация о сроке, в течение которого принимались предложения и замечания участников публичных слушаний;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- все предложения и замечания участников публичных слушаний;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- краткое содержание выступлений;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60C">
        <w:rPr>
          <w:rFonts w:ascii="Times New Roman" w:hAnsi="Times New Roman" w:cs="Times New Roman"/>
          <w:sz w:val="28"/>
          <w:szCs w:val="28"/>
        </w:rPr>
        <w:t xml:space="preserve"> результаты голосования.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1560C">
        <w:rPr>
          <w:rFonts w:ascii="Times New Roman" w:hAnsi="Times New Roman" w:cs="Times New Roman"/>
          <w:sz w:val="28"/>
          <w:szCs w:val="28"/>
        </w:rPr>
        <w:t>. По итогам проведения публичных слушаний принимается итоговый документ - рекомендации публичных слушаний.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Материалы по организации и проведению публичных слушаний хранятся вместе с проектом муниципального правового акта в Совете </w:t>
      </w:r>
      <w:r w:rsidRPr="0061560C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или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если публичные слушания организовывались соответственно по инициативе Совета депутатов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560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 xml:space="preserve">В случае если публичные слушания проводились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, то материалы по организации и проведению публичных слушаний хранятся в Совете депутатов.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560C">
        <w:rPr>
          <w:rFonts w:ascii="Times New Roman" w:hAnsi="Times New Roman" w:cs="Times New Roman"/>
          <w:sz w:val="28"/>
          <w:szCs w:val="28"/>
        </w:rPr>
        <w:t xml:space="preserve">Неявка на публичные слушания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 xml:space="preserve">, заявивших о своем намерении принять участие в публичных слушаниях, отсутствие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60C">
        <w:rPr>
          <w:rFonts w:ascii="Times New Roman" w:hAnsi="Times New Roman" w:cs="Times New Roman"/>
          <w:sz w:val="28"/>
          <w:szCs w:val="28"/>
        </w:rPr>
        <w:t>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C44BE6" w:rsidRDefault="00FF5B51" w:rsidP="00FF5B51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4BE6">
        <w:rPr>
          <w:rFonts w:ascii="Times New Roman" w:hAnsi="Times New Roman" w:cs="Times New Roman"/>
          <w:b/>
          <w:sz w:val="28"/>
          <w:szCs w:val="28"/>
        </w:rPr>
        <w:t>Статья 11. Рекомендации публичных слушаний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1560C">
        <w:rPr>
          <w:rFonts w:ascii="Times New Roman" w:hAnsi="Times New Roman" w:cs="Times New Roman"/>
          <w:sz w:val="28"/>
          <w:szCs w:val="28"/>
        </w:rPr>
        <w:t>Рекомендации публичных слушаний принимаются открытым голосованием и считаются принятыми, если за них проголосовало не менее половины присутствующих на слушаниях.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2. В результатах публичных слушаний должны быть указаны: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2) 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4) 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F5B51" w:rsidRPr="004F3E24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Результаты публичных слушаний подписывается лицом, возглавляющим орган, ответственный за организацию публичных слушаний и в течение 3 рабочих дней направляется в орган местного самоуправления, к полномочиям которого относится утверждение (принятие) проекта муниципального правового акта.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24">
        <w:rPr>
          <w:rFonts w:ascii="Times New Roman" w:hAnsi="Times New Roman" w:cs="Times New Roman"/>
          <w:sz w:val="28"/>
          <w:szCs w:val="28"/>
        </w:rPr>
        <w:t>3. Обнародование результатов публичных слушаний осуществляется не позднее чем через 5 дней со дня их принятия</w:t>
      </w:r>
      <w:r w:rsidRPr="0061560C">
        <w:rPr>
          <w:rFonts w:ascii="Times New Roman" w:hAnsi="Times New Roman" w:cs="Times New Roman"/>
          <w:sz w:val="28"/>
          <w:szCs w:val="28"/>
        </w:rPr>
        <w:t>.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1560C">
        <w:rPr>
          <w:rFonts w:ascii="Times New Roman" w:hAnsi="Times New Roman" w:cs="Times New Roman"/>
          <w:sz w:val="28"/>
          <w:szCs w:val="28"/>
        </w:rPr>
        <w:t>Решения, принимаемые на слушаниях, носят рекомендательный характер. Рекомендации публичных слушаний принимаются во внимание органами местного самоуправления, проверяются на соответствие действующему законодательству, затем либо отклоняются, либо принимаются к дальнейшему рассмотрению.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1560C">
        <w:rPr>
          <w:rFonts w:ascii="Times New Roman" w:hAnsi="Times New Roman" w:cs="Times New Roman"/>
          <w:sz w:val="28"/>
          <w:szCs w:val="28"/>
        </w:rPr>
        <w:t>Решения органов местного самоуправления, принятые по рекомендациям публичных слушаний, подлежат обязательному о</w:t>
      </w:r>
      <w:r>
        <w:rPr>
          <w:rFonts w:ascii="Times New Roman" w:hAnsi="Times New Roman" w:cs="Times New Roman"/>
          <w:sz w:val="28"/>
          <w:szCs w:val="28"/>
        </w:rPr>
        <w:t>бнародова</w:t>
      </w:r>
      <w:r w:rsidRPr="0061560C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Pr="00B0545A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</w:t>
      </w:r>
      <w:r w:rsidRPr="00B0545A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в информационно-телекоммуникационной сети «Интернет»</w:t>
      </w:r>
      <w:r w:rsidRPr="0061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B51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Глава</w:t>
      </w:r>
      <w:r w:rsidR="00FD55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5517" w:rsidRDefault="00FD5517" w:rsidP="00FF5B5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5517" w:rsidRPr="00C60608" w:rsidRDefault="00FD5517" w:rsidP="00FF5B5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                                      Е.В. Воропаева</w:t>
      </w: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CB1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Pr="000C022F" w:rsidRDefault="00FF5B51" w:rsidP="00FF5B51">
      <w:pPr>
        <w:pStyle w:val="ConsPlusNormal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2"/>
        </w:rPr>
      </w:pPr>
      <w:r w:rsidRPr="000C022F">
        <w:rPr>
          <w:rFonts w:ascii="Times New Roman" w:hAnsi="Times New Roman" w:cs="Times New Roman"/>
          <w:sz w:val="22"/>
        </w:rPr>
        <w:t>Приложение 1</w:t>
      </w:r>
    </w:p>
    <w:p w:rsidR="00FF5B51" w:rsidRPr="000C022F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2"/>
        </w:rPr>
      </w:pPr>
      <w:r w:rsidRPr="000C022F">
        <w:rPr>
          <w:rFonts w:ascii="Times New Roman" w:hAnsi="Times New Roman" w:cs="Times New Roman"/>
          <w:sz w:val="22"/>
        </w:rPr>
        <w:t xml:space="preserve">к Порядку организации и проведения </w:t>
      </w:r>
    </w:p>
    <w:p w:rsidR="00FF5B51" w:rsidRPr="000C022F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2"/>
        </w:rPr>
      </w:pPr>
      <w:r w:rsidRPr="000C022F">
        <w:rPr>
          <w:rFonts w:ascii="Times New Roman" w:hAnsi="Times New Roman" w:cs="Times New Roman"/>
          <w:sz w:val="22"/>
        </w:rPr>
        <w:t>публичных слушаний на территории</w:t>
      </w:r>
    </w:p>
    <w:p w:rsidR="00FF5B51" w:rsidRPr="000C022F" w:rsidRDefault="00F06CB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2"/>
        </w:rPr>
        <w:t>Боринский</w:t>
      </w:r>
      <w:proofErr w:type="spellEnd"/>
      <w:r>
        <w:rPr>
          <w:rFonts w:ascii="Times New Roman" w:hAnsi="Times New Roman" w:cs="Times New Roman"/>
          <w:sz w:val="22"/>
        </w:rPr>
        <w:t xml:space="preserve"> сельсовет</w:t>
      </w:r>
    </w:p>
    <w:p w:rsidR="00FF5B51" w:rsidRPr="000C022F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2"/>
        </w:rPr>
      </w:pPr>
      <w:r w:rsidRPr="000C022F">
        <w:rPr>
          <w:rFonts w:ascii="Times New Roman" w:hAnsi="Times New Roman" w:cs="Times New Roman"/>
          <w:sz w:val="22"/>
        </w:rPr>
        <w:t>Липецкого муниципального района Липецкой области</w:t>
      </w:r>
    </w:p>
    <w:p w:rsidR="00FF5B51" w:rsidRDefault="00FF5B51" w:rsidP="00FF5B5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4"/>
      <w:bookmarkEnd w:id="1"/>
      <w:r w:rsidRPr="0061560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FF5B51" w:rsidRPr="0061560C" w:rsidRDefault="00FF5B51" w:rsidP="00FF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06CB1">
        <w:rPr>
          <w:rFonts w:ascii="Times New Roman" w:hAnsi="Times New Roman" w:cs="Times New Roman"/>
          <w:sz w:val="28"/>
          <w:szCs w:val="28"/>
        </w:rPr>
        <w:t>_</w:t>
      </w:r>
    </w:p>
    <w:p w:rsidR="00FF5B51" w:rsidRPr="00090A42" w:rsidRDefault="00FF5B51" w:rsidP="00FF5B5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A42">
        <w:rPr>
          <w:rFonts w:ascii="Times New Roman" w:hAnsi="Times New Roman" w:cs="Times New Roman"/>
          <w:i/>
          <w:sz w:val="24"/>
          <w:szCs w:val="24"/>
        </w:rPr>
        <w:t>(наименование территории, где проводится сбор подписей граждан)</w:t>
      </w:r>
    </w:p>
    <w:p w:rsidR="00FF5B51" w:rsidRPr="00090A4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Pr="0061560C">
        <w:rPr>
          <w:rFonts w:ascii="Times New Roman" w:hAnsi="Times New Roman" w:cs="Times New Roman"/>
          <w:sz w:val="28"/>
          <w:szCs w:val="28"/>
        </w:rPr>
        <w:t>нижеподписавшиеся, поддерживаем инициативу о проведении публичных</w:t>
      </w:r>
      <w:r w:rsidR="00F06CB1">
        <w:rPr>
          <w:rFonts w:ascii="Times New Roman" w:hAnsi="Times New Roman" w:cs="Times New Roman"/>
          <w:sz w:val="28"/>
          <w:szCs w:val="28"/>
        </w:rPr>
        <w:t> </w:t>
      </w:r>
      <w:r w:rsidRPr="0061560C">
        <w:rPr>
          <w:rFonts w:ascii="Times New Roman" w:hAnsi="Times New Roman" w:cs="Times New Roman"/>
          <w:sz w:val="28"/>
          <w:szCs w:val="28"/>
        </w:rPr>
        <w:t>слушаний</w:t>
      </w:r>
      <w:r w:rsidR="00F06C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56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06CB1">
        <w:rPr>
          <w:rFonts w:ascii="Times New Roman" w:hAnsi="Times New Roman" w:cs="Times New Roman"/>
          <w:sz w:val="28"/>
          <w:szCs w:val="28"/>
        </w:rPr>
        <w:t> </w:t>
      </w:r>
      <w:r w:rsidRPr="0061560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06CB1">
        <w:rPr>
          <w:rFonts w:ascii="Times New Roman" w:hAnsi="Times New Roman" w:cs="Times New Roman"/>
          <w:sz w:val="28"/>
          <w:szCs w:val="28"/>
        </w:rPr>
        <w:t>______________</w:t>
      </w:r>
    </w:p>
    <w:p w:rsidR="00FF5B51" w:rsidRPr="0061560C" w:rsidRDefault="00FF5B51" w:rsidP="00FF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06C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5B51" w:rsidRPr="00090A42" w:rsidRDefault="00FF5B51" w:rsidP="00FF5B5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A42">
        <w:rPr>
          <w:rFonts w:ascii="Times New Roman" w:hAnsi="Times New Roman" w:cs="Times New Roman"/>
          <w:i/>
          <w:sz w:val="24"/>
          <w:szCs w:val="24"/>
        </w:rPr>
        <w:t>(формулировка вопроса)</w:t>
      </w:r>
    </w:p>
    <w:p w:rsidR="00FF5B51" w:rsidRPr="001E6197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047"/>
        <w:gridCol w:w="1191"/>
        <w:gridCol w:w="1927"/>
        <w:gridCol w:w="1814"/>
        <w:gridCol w:w="1191"/>
        <w:gridCol w:w="1247"/>
      </w:tblGrid>
      <w:tr w:rsidR="00FF5B51" w:rsidRPr="00090A42" w:rsidTr="00677922">
        <w:tc>
          <w:tcPr>
            <w:tcW w:w="629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814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кем и когда выдан</w:t>
            </w: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заменяющего его документа</w:t>
            </w: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Дата подписи</w:t>
            </w:r>
          </w:p>
        </w:tc>
        <w:tc>
          <w:tcPr>
            <w:tcW w:w="12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F5B51" w:rsidRPr="00090A42" w:rsidTr="00677922">
        <w:trPr>
          <w:trHeight w:val="199"/>
        </w:trPr>
        <w:tc>
          <w:tcPr>
            <w:tcW w:w="629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F5B51" w:rsidRPr="00090A42" w:rsidTr="00677922">
        <w:tc>
          <w:tcPr>
            <w:tcW w:w="629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left="-7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51" w:rsidRPr="00090A42" w:rsidTr="00677922">
        <w:tc>
          <w:tcPr>
            <w:tcW w:w="629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left="-73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51" w:rsidRPr="00090A42" w:rsidTr="00677922">
        <w:tc>
          <w:tcPr>
            <w:tcW w:w="629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left="-72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B51" w:rsidRPr="00090A42" w:rsidTr="00677922">
        <w:tc>
          <w:tcPr>
            <w:tcW w:w="629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90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5B51" w:rsidRPr="00090A42" w:rsidRDefault="00FF5B51" w:rsidP="0067792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B51" w:rsidRPr="0061560C" w:rsidRDefault="00FF5B51" w:rsidP="00FF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</w:p>
    <w:p w:rsidR="00FF5B51" w:rsidRPr="0061560C" w:rsidRDefault="00FF5B51" w:rsidP="00FF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5B51" w:rsidRPr="00090A42" w:rsidRDefault="00FF5B51" w:rsidP="00F06CB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0A42">
        <w:rPr>
          <w:rFonts w:ascii="Times New Roman" w:hAnsi="Times New Roman" w:cs="Times New Roman"/>
          <w:i/>
          <w:sz w:val="24"/>
          <w:szCs w:val="24"/>
        </w:rPr>
        <w:t>(фамилия, имя, отчество, дата рождения, место жительства, серия и номер</w:t>
      </w:r>
      <w:r>
        <w:rPr>
          <w:rFonts w:ascii="Times New Roman" w:hAnsi="Times New Roman" w:cs="Times New Roman"/>
          <w:i/>
          <w:sz w:val="24"/>
          <w:szCs w:val="24"/>
        </w:rPr>
        <w:t xml:space="preserve">, кем и </w:t>
      </w:r>
      <w:proofErr w:type="gramEnd"/>
    </w:p>
    <w:p w:rsidR="00FF5B51" w:rsidRPr="0061560C" w:rsidRDefault="00FF5B51" w:rsidP="00FF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06C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5B51" w:rsidRPr="00090A4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197">
        <w:rPr>
          <w:rFonts w:ascii="Times New Roman" w:hAnsi="Times New Roman" w:cs="Times New Roman"/>
          <w:i/>
          <w:sz w:val="24"/>
          <w:szCs w:val="24"/>
        </w:rPr>
        <w:t>когда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42">
        <w:rPr>
          <w:rFonts w:ascii="Times New Roman" w:hAnsi="Times New Roman" w:cs="Times New Roman"/>
          <w:i/>
          <w:sz w:val="24"/>
          <w:szCs w:val="24"/>
        </w:rPr>
        <w:t>паспорт или заменяющего его документа лица, собиравшего подписи)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Default="00FF5B51" w:rsidP="00FF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60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1560C">
        <w:rPr>
          <w:rFonts w:ascii="Times New Roman" w:hAnsi="Times New Roman" w:cs="Times New Roman"/>
          <w:sz w:val="28"/>
          <w:szCs w:val="28"/>
        </w:rPr>
        <w:t xml:space="preserve">__                                                </w:t>
      </w:r>
      <w:r w:rsidR="00F06CB1">
        <w:rPr>
          <w:rFonts w:ascii="Times New Roman" w:hAnsi="Times New Roman" w:cs="Times New Roman"/>
          <w:sz w:val="28"/>
          <w:szCs w:val="28"/>
        </w:rPr>
        <w:tab/>
      </w:r>
      <w:r w:rsidRPr="0061560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1560C">
        <w:rPr>
          <w:rFonts w:ascii="Times New Roman" w:hAnsi="Times New Roman" w:cs="Times New Roman"/>
          <w:sz w:val="28"/>
          <w:szCs w:val="28"/>
        </w:rPr>
        <w:t>________</w:t>
      </w:r>
    </w:p>
    <w:p w:rsidR="00FF5B51" w:rsidRPr="00090A42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(дата)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(подпись)</w:t>
      </w:r>
    </w:p>
    <w:p w:rsidR="00FF5B51" w:rsidRPr="0061560C" w:rsidRDefault="00FF5B51" w:rsidP="00FF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51" w:rsidRPr="00090A42" w:rsidRDefault="00FF5B51" w:rsidP="00FF5B51">
      <w:pPr>
        <w:ind w:firstLine="709"/>
        <w:jc w:val="both"/>
        <w:rPr>
          <w:b/>
          <w:i/>
          <w:sz w:val="24"/>
          <w:szCs w:val="24"/>
        </w:rPr>
      </w:pPr>
      <w:r w:rsidRPr="00090A42">
        <w:rPr>
          <w:b/>
          <w:i/>
          <w:sz w:val="24"/>
          <w:szCs w:val="24"/>
        </w:rPr>
        <w:t xml:space="preserve">Примечание: </w:t>
      </w:r>
    </w:p>
    <w:p w:rsidR="00FF5B51" w:rsidRPr="0061560C" w:rsidRDefault="00FF5B51" w:rsidP="00FF5B51">
      <w:pPr>
        <w:ind w:firstLine="709"/>
        <w:jc w:val="both"/>
        <w:rPr>
          <w:sz w:val="28"/>
          <w:szCs w:val="28"/>
        </w:rPr>
      </w:pPr>
      <w:r w:rsidRPr="00090A42">
        <w:rPr>
          <w:sz w:val="24"/>
          <w:szCs w:val="24"/>
        </w:rPr>
        <w:t xml:space="preserve">*Подписью гражданина дается согласие представительному органу муниципального образования, администрации муниципального образования на обработку в соответствии с Федеральным законом от 27.07.2006 № 152-ФЗ «О персональных данных» указанных в настоящем подписном листе его персональных данных. </w:t>
      </w:r>
    </w:p>
    <w:p w:rsidR="0033285E" w:rsidRDefault="0033285E" w:rsidP="00FF5B51">
      <w:pPr>
        <w:pStyle w:val="Heading4"/>
        <w:spacing w:before="0" w:after="0"/>
        <w:ind w:left="0" w:right="0"/>
        <w:jc w:val="center"/>
        <w:rPr>
          <w:rFonts w:ascii="Times New Roman" w:hAnsi="Times New Roman"/>
          <w:sz w:val="28"/>
          <w:szCs w:val="28"/>
        </w:rPr>
      </w:pPr>
    </w:p>
    <w:sectPr w:rsidR="0033285E" w:rsidSect="00E664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3BF4"/>
    <w:rsid w:val="000941F4"/>
    <w:rsid w:val="00094B9B"/>
    <w:rsid w:val="000B1BEB"/>
    <w:rsid w:val="000B708C"/>
    <w:rsid w:val="000C45CC"/>
    <w:rsid w:val="000E0C9E"/>
    <w:rsid w:val="00107F3D"/>
    <w:rsid w:val="00140109"/>
    <w:rsid w:val="0014426A"/>
    <w:rsid w:val="00155596"/>
    <w:rsid w:val="00156590"/>
    <w:rsid w:val="00194C42"/>
    <w:rsid w:val="00197234"/>
    <w:rsid w:val="001B4454"/>
    <w:rsid w:val="001C189F"/>
    <w:rsid w:val="001D2776"/>
    <w:rsid w:val="001E4696"/>
    <w:rsid w:val="001E6414"/>
    <w:rsid w:val="001F5C82"/>
    <w:rsid w:val="00230C8D"/>
    <w:rsid w:val="00241673"/>
    <w:rsid w:val="00247FF7"/>
    <w:rsid w:val="002664CF"/>
    <w:rsid w:val="0027381A"/>
    <w:rsid w:val="00295027"/>
    <w:rsid w:val="00295C7C"/>
    <w:rsid w:val="002B7154"/>
    <w:rsid w:val="002D3FA3"/>
    <w:rsid w:val="002E1BF3"/>
    <w:rsid w:val="0030081F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2FA"/>
    <w:rsid w:val="00395466"/>
    <w:rsid w:val="003A5BBD"/>
    <w:rsid w:val="003B2F42"/>
    <w:rsid w:val="003B4748"/>
    <w:rsid w:val="003B4864"/>
    <w:rsid w:val="003B7302"/>
    <w:rsid w:val="003C645C"/>
    <w:rsid w:val="003D7CDF"/>
    <w:rsid w:val="003E6E94"/>
    <w:rsid w:val="00414A32"/>
    <w:rsid w:val="00425B4C"/>
    <w:rsid w:val="004344B7"/>
    <w:rsid w:val="00437E52"/>
    <w:rsid w:val="00451477"/>
    <w:rsid w:val="00453A5F"/>
    <w:rsid w:val="00457191"/>
    <w:rsid w:val="00466FF3"/>
    <w:rsid w:val="004751FD"/>
    <w:rsid w:val="0048415F"/>
    <w:rsid w:val="004A203B"/>
    <w:rsid w:val="004A2EC1"/>
    <w:rsid w:val="004B0B33"/>
    <w:rsid w:val="004B588D"/>
    <w:rsid w:val="004B6159"/>
    <w:rsid w:val="004D1DA5"/>
    <w:rsid w:val="004D3243"/>
    <w:rsid w:val="004E6FF7"/>
    <w:rsid w:val="004F51AF"/>
    <w:rsid w:val="00522EB9"/>
    <w:rsid w:val="00533248"/>
    <w:rsid w:val="00533607"/>
    <w:rsid w:val="005574AF"/>
    <w:rsid w:val="00567404"/>
    <w:rsid w:val="00567E20"/>
    <w:rsid w:val="00596A6C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6F1C78"/>
    <w:rsid w:val="00700605"/>
    <w:rsid w:val="00713282"/>
    <w:rsid w:val="00715B01"/>
    <w:rsid w:val="00736105"/>
    <w:rsid w:val="007424F2"/>
    <w:rsid w:val="00760CFA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46E9"/>
    <w:rsid w:val="007F508F"/>
    <w:rsid w:val="007F520E"/>
    <w:rsid w:val="00815520"/>
    <w:rsid w:val="00816D79"/>
    <w:rsid w:val="00823D81"/>
    <w:rsid w:val="00837A09"/>
    <w:rsid w:val="008422D6"/>
    <w:rsid w:val="0087316A"/>
    <w:rsid w:val="00886935"/>
    <w:rsid w:val="008B5C88"/>
    <w:rsid w:val="008C0AED"/>
    <w:rsid w:val="008D5D31"/>
    <w:rsid w:val="008E19CF"/>
    <w:rsid w:val="00904E99"/>
    <w:rsid w:val="00911B8C"/>
    <w:rsid w:val="00912C48"/>
    <w:rsid w:val="009418BC"/>
    <w:rsid w:val="00947051"/>
    <w:rsid w:val="00953E33"/>
    <w:rsid w:val="009613D2"/>
    <w:rsid w:val="00974662"/>
    <w:rsid w:val="009748B3"/>
    <w:rsid w:val="00981D14"/>
    <w:rsid w:val="009904CC"/>
    <w:rsid w:val="0099442D"/>
    <w:rsid w:val="00994D7B"/>
    <w:rsid w:val="009A2F09"/>
    <w:rsid w:val="009A50B8"/>
    <w:rsid w:val="009B7E76"/>
    <w:rsid w:val="009E361D"/>
    <w:rsid w:val="009E4429"/>
    <w:rsid w:val="009E6264"/>
    <w:rsid w:val="009F33F0"/>
    <w:rsid w:val="00A51728"/>
    <w:rsid w:val="00A578EF"/>
    <w:rsid w:val="00A75473"/>
    <w:rsid w:val="00AC729E"/>
    <w:rsid w:val="00AD7FBB"/>
    <w:rsid w:val="00AE6FCC"/>
    <w:rsid w:val="00AF37D5"/>
    <w:rsid w:val="00AF654C"/>
    <w:rsid w:val="00B1712B"/>
    <w:rsid w:val="00B1716C"/>
    <w:rsid w:val="00B36765"/>
    <w:rsid w:val="00B510F5"/>
    <w:rsid w:val="00B532FB"/>
    <w:rsid w:val="00B6537A"/>
    <w:rsid w:val="00B67610"/>
    <w:rsid w:val="00B73DF2"/>
    <w:rsid w:val="00B85A31"/>
    <w:rsid w:val="00B86FC5"/>
    <w:rsid w:val="00B90616"/>
    <w:rsid w:val="00B93039"/>
    <w:rsid w:val="00B967A5"/>
    <w:rsid w:val="00B974F4"/>
    <w:rsid w:val="00BA0625"/>
    <w:rsid w:val="00BA66D8"/>
    <w:rsid w:val="00BC06F2"/>
    <w:rsid w:val="00BC2132"/>
    <w:rsid w:val="00BC269E"/>
    <w:rsid w:val="00BC4AD2"/>
    <w:rsid w:val="00BD04C4"/>
    <w:rsid w:val="00BD1166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DD"/>
    <w:rsid w:val="00CD35FE"/>
    <w:rsid w:val="00CE54DA"/>
    <w:rsid w:val="00D00471"/>
    <w:rsid w:val="00D07DC3"/>
    <w:rsid w:val="00D2004B"/>
    <w:rsid w:val="00D34563"/>
    <w:rsid w:val="00D34725"/>
    <w:rsid w:val="00D42B15"/>
    <w:rsid w:val="00D65AFA"/>
    <w:rsid w:val="00D67804"/>
    <w:rsid w:val="00D768E8"/>
    <w:rsid w:val="00DB16C9"/>
    <w:rsid w:val="00DB1C58"/>
    <w:rsid w:val="00DC75E5"/>
    <w:rsid w:val="00DD38FF"/>
    <w:rsid w:val="00DD3FCE"/>
    <w:rsid w:val="00DD4F76"/>
    <w:rsid w:val="00DD5B97"/>
    <w:rsid w:val="00DF3CAE"/>
    <w:rsid w:val="00DF7A16"/>
    <w:rsid w:val="00E15BCE"/>
    <w:rsid w:val="00E266FD"/>
    <w:rsid w:val="00E26D46"/>
    <w:rsid w:val="00E35C43"/>
    <w:rsid w:val="00E42193"/>
    <w:rsid w:val="00E43804"/>
    <w:rsid w:val="00E56A9C"/>
    <w:rsid w:val="00E664E7"/>
    <w:rsid w:val="00E7395B"/>
    <w:rsid w:val="00E86534"/>
    <w:rsid w:val="00E958E8"/>
    <w:rsid w:val="00EB2C04"/>
    <w:rsid w:val="00ED56E6"/>
    <w:rsid w:val="00EE03B9"/>
    <w:rsid w:val="00EE58A7"/>
    <w:rsid w:val="00EE6457"/>
    <w:rsid w:val="00EF49A4"/>
    <w:rsid w:val="00F0093C"/>
    <w:rsid w:val="00F032F7"/>
    <w:rsid w:val="00F06CB1"/>
    <w:rsid w:val="00F12D54"/>
    <w:rsid w:val="00F21FA7"/>
    <w:rsid w:val="00F24CFC"/>
    <w:rsid w:val="00F271FF"/>
    <w:rsid w:val="00F3558F"/>
    <w:rsid w:val="00F52ECE"/>
    <w:rsid w:val="00F555D8"/>
    <w:rsid w:val="00F63882"/>
    <w:rsid w:val="00F74F3A"/>
    <w:rsid w:val="00F84884"/>
    <w:rsid w:val="00F90739"/>
    <w:rsid w:val="00FA7FE1"/>
    <w:rsid w:val="00FB26DC"/>
    <w:rsid w:val="00FB3C9E"/>
    <w:rsid w:val="00FC1674"/>
    <w:rsid w:val="00FC4C55"/>
    <w:rsid w:val="00FD5517"/>
    <w:rsid w:val="00FD78CC"/>
    <w:rsid w:val="00FE276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596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F5B51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130ECB2F89AF6D107F7C31F0E1B140F0AF085404FA6FBE8E74F56576400BCF58A9B5084819D6F50E2A45DDF8DAEB4A7v1w6I" TargetMode="External"/><Relationship Id="rId13" Type="http://schemas.openxmlformats.org/officeDocument/2006/relationships/hyperlink" Target="consultantplus://offline/ref=A2E130ECB2F89AF6D107F7C31F0E1B140F0AF085404DA6F2EDE54F56576400BCF58A9B5084819D6F50E2A45DDF8DAEB4A7v1w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130ECB2F89AF6D107E9CE0962471B0D09A98D4A1BFBA7E7E5470400645CF9A3839006CBC5C07C52E0B8v5wFI" TargetMode="External"/><Relationship Id="rId12" Type="http://schemas.openxmlformats.org/officeDocument/2006/relationships/hyperlink" Target="consultantplus://offline/ref=A2E130ECB2F89AF6D107F7C31F0E1B140F0AF085404DA6F2EDE54F56576400BCF58A9B5084819D6F50E2A45DDF8DAEB4A7v1w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2E130ECB2F89AF6D107E9CE0962471B0B03AC894348ACA5B6B04901083406E9A7CAC509D5C7D66258FEB85DD5v9w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E130ECB2F89AF6D107E9CE0962471B0B01AB80424FACA5B6B04901083406E9B5CA9D05D5C5C96255EBEE0C93C6A1B4A70AE5526A297743v7w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130ECB2F89AF6D107F7C31F0E1B140F0AF085404DA6F2EDE54F56576400BCF58A9B5084819D6F50E2A45DDF8DAEB4A7v1w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FC6B-8935-4AF2-BF02-CA2DC5FD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Admin</cp:lastModifiedBy>
  <cp:revision>4</cp:revision>
  <cp:lastPrinted>2022-08-18T10:31:00Z</cp:lastPrinted>
  <dcterms:created xsi:type="dcterms:W3CDTF">2022-08-18T10:55:00Z</dcterms:created>
  <dcterms:modified xsi:type="dcterms:W3CDTF">2022-08-19T05:48:00Z</dcterms:modified>
</cp:coreProperties>
</file>