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r>
        <w:drawing>
          <wp:inline distT="0" distB="0" distL="114300" distR="114300">
            <wp:extent cx="570865" cy="685165"/>
            <wp:effectExtent l="0" t="0" r="825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ind w:firstLine="280" w:firstLineChars="100"/>
        <w:jc w:val="both"/>
        <w:rPr>
          <w:rFonts w:hint="default"/>
          <w:b w:val="0"/>
          <w:lang w:val="ru-RU"/>
        </w:rPr>
      </w:pPr>
      <w:r>
        <w:rPr>
          <w:rFonts w:hint="default" w:ascii="Times New Roman CYR" w:hAnsi="Times New Roman CYR" w:eastAsia="Times New Roman CYR" w:cs="Times New Roman CYR"/>
          <w:b w:val="0"/>
          <w:sz w:val="28"/>
          <w:szCs w:val="28"/>
          <w:lang w:val="ru-RU"/>
        </w:rPr>
        <w:t xml:space="preserve">08.07.2020 </w:t>
      </w:r>
      <w:r>
        <w:rPr>
          <w:rFonts w:hint="default" w:ascii="Times New Roman CYR" w:hAnsi="Times New Roman CYR" w:eastAsia="Times New Roman CYR" w:cs="Times New Roman CYR"/>
          <w:b w:val="0"/>
          <w:sz w:val="28"/>
          <w:szCs w:val="28"/>
          <w:lang w:val="ru"/>
        </w:rPr>
        <w:t xml:space="preserve">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w:t>
      </w:r>
      <w:r>
        <w:rPr>
          <w:rFonts w:hint="default" w:ascii="Times New Roman CYR" w:hAnsi="Times New Roman CYR" w:eastAsia="Times New Roman CYR" w:cs="Times New Roman CYR"/>
          <w:b w:val="0"/>
          <w:sz w:val="28"/>
          <w:szCs w:val="28"/>
          <w:lang w:val="ru-RU"/>
        </w:rPr>
        <w:t xml:space="preserve"> 354 </w:t>
      </w:r>
    </w:p>
    <w:p>
      <w:pPr>
        <w:pStyle w:val="6"/>
        <w:keepNext w:val="0"/>
        <w:keepLines w:val="0"/>
        <w:widowControl/>
        <w:suppressLineNumbers w:val="0"/>
        <w:spacing w:after="0" w:afterAutospacing="0" w:line="240" w:lineRule="auto"/>
        <w:ind w:firstLine="3780" w:firstLineChars="1350"/>
        <w:jc w:val="both"/>
        <w:rPr>
          <w:b w:val="0"/>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3"/>
        <w:jc w:val="both"/>
        <w:rPr>
          <w:rFonts w:ascii="Times New Roman" w:hAnsi="Times New Roman"/>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rFonts w:hint="default" w:ascii="Times New Roman" w:hAnsi="Times New Roman" w:cs="Times New Roman"/>
          <w:spacing w:val="-1"/>
          <w:sz w:val="28"/>
          <w:szCs w:val="28"/>
          <w:lang w:val="ru-RU"/>
        </w:rPr>
        <w:t xml:space="preserve">  Советского городского </w:t>
      </w:r>
      <w:r>
        <w:rPr>
          <w:rFonts w:ascii="Times New Roman" w:hAnsi="Times New Roman" w:cs="Times New Roman"/>
          <w:spacing w:val="-1"/>
          <w:sz w:val="28"/>
          <w:szCs w:val="28"/>
        </w:rPr>
        <w:t xml:space="preserve"> поселения ПОСТАНОВЛЯЕТ:</w:t>
      </w:r>
    </w:p>
    <w:p>
      <w:pPr>
        <w:spacing w:after="0"/>
        <w:ind w:firstLine="709"/>
        <w:jc w:val="both"/>
        <w:rPr>
          <w:rFonts w:ascii="Times New Roman" w:hAnsi="Times New Roman" w:cs="Times New Roman"/>
          <w:spacing w:val="-1"/>
          <w:sz w:val="28"/>
          <w:szCs w:val="28"/>
        </w:rPr>
      </w:pP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line="240" w:lineRule="auto"/>
        <w:jc w:val="both"/>
        <w:rPr>
          <w:rFonts w:ascii="Times New Roman" w:hAnsi="Times New Roman"/>
          <w:sz w:val="28"/>
          <w:szCs w:val="28"/>
          <w:lang w:val="ru-RU"/>
        </w:rPr>
      </w:pPr>
    </w:p>
    <w:p>
      <w:pPr>
        <w:tabs>
          <w:tab w:val="left" w:pos="9354"/>
        </w:tabs>
        <w:suppressAutoHyphens/>
        <w:autoSpaceDE w:val="0"/>
        <w:autoSpaceDN w:val="0"/>
        <w:adjustRightInd w:val="0"/>
        <w:spacing w:after="0" w:line="240" w:lineRule="auto"/>
        <w:jc w:val="both"/>
        <w:rPr>
          <w:rFonts w:ascii="Times New Roman" w:hAnsi="Times New Roman"/>
          <w:sz w:val="28"/>
          <w:szCs w:val="28"/>
          <w:lang w:val="ru-RU"/>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 08.07.2020 </w:t>
      </w:r>
      <w:r>
        <w:rPr>
          <w:rFonts w:ascii="Times New Roman" w:hAnsi="Times New Roman" w:cs="Times New Roman"/>
          <w:sz w:val="28"/>
          <w:szCs w:val="28"/>
        </w:rPr>
        <w:t>№</w:t>
      </w:r>
      <w:r>
        <w:rPr>
          <w:rFonts w:hint="default" w:ascii="Times New Roman" w:hAnsi="Times New Roman" w:cs="Times New Roman"/>
          <w:sz w:val="28"/>
          <w:szCs w:val="28"/>
          <w:lang w:val="ru-RU"/>
        </w:rPr>
        <w:t xml:space="preserve">  354</w:t>
      </w:r>
      <w:bookmarkStart w:id="8" w:name="_GoBack"/>
      <w:bookmarkEnd w:id="8"/>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pStyle w:val="14"/>
        <w:suppressAutoHyphens/>
        <w:ind w:left="0"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w:t>
      </w:r>
      <w:r>
        <w:rPr>
          <w:rFonts w:ascii="Times New Roman" w:hAnsi="Times New Roman" w:cs="Times New Roman"/>
          <w:bCs/>
          <w:sz w:val="28"/>
          <w:szCs w:val="28"/>
        </w:rPr>
        <w:t xml:space="preserve">редоставлении муниципальной услуги является – </w:t>
      </w:r>
      <w:r>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Pr>
          <w:rFonts w:ascii="Times New Roman" w:hAnsi="Times New Roman" w:cs="Times New Roman"/>
          <w:bCs/>
          <w:sz w:val="28"/>
          <w:szCs w:val="28"/>
        </w:rPr>
        <w:t xml:space="preserve">либо его уполномоченный представитель, </w:t>
      </w:r>
      <w:r>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w:t>
      </w:r>
      <w:r>
        <w:rPr>
          <w:rFonts w:ascii="Times New Roman" w:hAnsi="Times New Roman" w:cs="Times New Roman"/>
          <w:sz w:val="28"/>
          <w:szCs w:val="28"/>
        </w:rPr>
        <w:t>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администрацией муниципального образования</w:t>
      </w:r>
      <w:r>
        <w:rPr>
          <w:rFonts w:hint="default" w:ascii="Times New Roman" w:hAnsi="Times New Roman"/>
          <w:bCs/>
          <w:sz w:val="28"/>
          <w:szCs w:val="28"/>
          <w:lang w:val="ru-RU"/>
        </w:rPr>
        <w:t xml:space="preserve">  Советское городское  </w:t>
      </w:r>
      <w:r>
        <w:rPr>
          <w:rFonts w:ascii="Times New Roman" w:hAnsi="Times New Roman"/>
          <w:bCs/>
          <w:sz w:val="28"/>
          <w:szCs w:val="28"/>
        </w:rPr>
        <w:t xml:space="preserve"> поселение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рассмотрении заявления о переводе земель из одной категории в другую или заявления о переводе земельных участков из состава земель одной категории в другую;</w:t>
      </w: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отказ в переводе земель или земельных участков в составе таких земель из одной категории в другую.</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Максимальный срок предоставления муниципальной услуги не должен превышать двухмесячный срок со дня поступления ходатайства.</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2.6.1. Документы, которые заявитель должен предоставить самостоятельно: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 физического лица;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перевода земельного участка из состава земель одной категории в другую;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на земельный участок.</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sz w:val="28"/>
          <w:szCs w:val="28"/>
        </w:rPr>
      </w:pPr>
      <w:bookmarkStart w:id="0" w:name="P90"/>
      <w:bookmarkEnd w:id="0"/>
      <w:r>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1"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Наличие отрицательного заключения государственной экологической экспертизы в случае, если ее проведение предусмотрено федеральными законами.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hd w:val="clear" w:color="auto" w:fill="FFFFFF"/>
        <w:spacing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_Toc136239813"/>
      <w:bookmarkEnd w:id="5"/>
      <w:bookmarkStart w:id="6" w:name="_Toc136151977"/>
      <w:bookmarkEnd w:id="6"/>
      <w:bookmarkStart w:id="7" w:name="_Toc136321787"/>
      <w:bookmarkEnd w:id="7"/>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0" w:firstLine="709"/>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ind w:left="1788"/>
        <w:jc w:val="both"/>
        <w:rPr>
          <w:rFonts w:ascii="Times New Roman" w:hAnsi="Times New Roman" w:eastAsia="Times New Roman" w:cs="Times New Roman"/>
          <w:b/>
          <w:sz w:val="28"/>
          <w:szCs w:val="28"/>
          <w:shd w:val="clear" w:color="auto" w:fill="FFFFFF"/>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выполнения действий не может превышать 30 календарных дней со дня поступления заявления.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подразделе 2.8 раздела 2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3.4.2.  </w:t>
      </w:r>
      <w:r>
        <w:rPr>
          <w:rFonts w:ascii="Times New Roman" w:hAnsi="Times New Roman" w:cs="Times New Roman"/>
          <w:sz w:val="28"/>
          <w:szCs w:val="28"/>
        </w:rPr>
        <w:t>Принятие решения о предоставлении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двухмесячный срок со дня поступления ходатайства.</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p>
    <w:p>
      <w:pPr>
        <w:pStyle w:val="14"/>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8"/>
          <w:szCs w:val="28"/>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Pr>
          <w:rFonts w:eastAsiaTheme="majorEastAsia"/>
          <w:sz w:val="28"/>
          <w:szCs w:val="28"/>
        </w:rPr>
        <w:t>подразделе 2.4</w:t>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3.6.4. Описание последовательности действий при рассмотрении заявления и 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hint="default" w:ascii="Times New Roman" w:hAnsi="Times New Roman" w:cs="Times New Roman"/>
          <w:bCs/>
          <w:sz w:val="28"/>
          <w:szCs w:val="28"/>
          <w:lang w:val="ru-RU"/>
        </w:rPr>
        <w:t xml:space="preserve"> Советского городского </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cs="Times New Roman"/>
          <w:sz w:val="28"/>
          <w:szCs w:val="28"/>
        </w:rPr>
      </w:pPr>
    </w:p>
    <w:p>
      <w:pPr>
        <w:widowControl w:val="0"/>
        <w:autoSpaceDE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935" distR="114935" simplePos="0" relativeHeight="251660288" behindDoc="0" locked="0" layoutInCell="1" allowOverlap="1">
                <wp:simplePos x="0" y="0"/>
                <wp:positionH relativeFrom="column">
                  <wp:posOffset>2377440</wp:posOffset>
                </wp:positionH>
                <wp:positionV relativeFrom="paragraph">
                  <wp:posOffset>318135</wp:posOffset>
                </wp:positionV>
                <wp:extent cx="3543300" cy="4057650"/>
                <wp:effectExtent l="0" t="0" r="7620" b="11430"/>
                <wp:wrapTopAndBottom/>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3543300" cy="40576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187.2pt;margin-top:25.05pt;height:319.5pt;width:279pt;mso-wrap-distance-bottom:0pt;mso-wrap-distance-top:0pt;z-index:251660288;mso-width-relative:page;mso-height-relative:page;" fillcolor="#FFFFFF" filled="t" stroked="f" coordsize="21600,21600" o:gfxdata="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WjpA2QAAAAoBAAAPAAAAAAAAAAEAIAAAACIAAABkcnMvZG93bnJl&#10;di54bWxQSwECFAAUAAAACACHTuJAT49cnvwBAADuAwAADgAAAAAAAAABACAAAAAoAQAAZHJzL2Uy&#10;b0RvYy54bWxQSwUGAAAAAAYABgBZAQAAlg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tbl>
      <w:tblPr>
        <w:tblStyle w:val="9"/>
        <w:tblW w:w="9498" w:type="dxa"/>
        <w:tblInd w:w="-40" w:type="dxa"/>
        <w:tblLayout w:type="fixed"/>
        <w:tblCellMar>
          <w:top w:w="75" w:type="dxa"/>
          <w:left w:w="0" w:type="dxa"/>
          <w:bottom w:w="75" w:type="dxa"/>
          <w:right w:w="0" w:type="dxa"/>
        </w:tblCellMar>
      </w:tblPr>
      <w:tblGrid>
        <w:gridCol w:w="3403"/>
        <w:gridCol w:w="425"/>
        <w:gridCol w:w="567"/>
        <w:gridCol w:w="1811"/>
        <w:gridCol w:w="32"/>
        <w:gridCol w:w="378"/>
        <w:gridCol w:w="1465"/>
        <w:gridCol w:w="1417"/>
      </w:tblGrid>
      <w:tr>
        <w:tblPrEx>
          <w:tblCellMar>
            <w:top w:w="75" w:type="dxa"/>
            <w:left w:w="0" w:type="dxa"/>
            <w:bottom w:w="75" w:type="dxa"/>
            <w:right w:w="0" w:type="dxa"/>
          </w:tblCellMar>
        </w:tblPrEx>
        <w:trPr>
          <w:trHeight w:val="470" w:hRule="atLeast"/>
        </w:trPr>
        <w:tc>
          <w:tcPr>
            <w:tcW w:w="9498" w:type="dxa"/>
            <w:gridSpan w:val="8"/>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228" w:hRule="atLeast"/>
        </w:trPr>
        <w:tc>
          <w:tcPr>
            <w:tcW w:w="9498" w:type="dxa"/>
            <w:gridSpan w:val="8"/>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осуществить перевод земельного участка:</w:t>
            </w: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555"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197" w:hRule="atLeast"/>
        </w:trPr>
        <w:tc>
          <w:tcPr>
            <w:tcW w:w="4395" w:type="dxa"/>
            <w:gridSpan w:val="3"/>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Адрес (местоположение):</w:t>
            </w:r>
          </w:p>
        </w:tc>
        <w:tc>
          <w:tcPr>
            <w:tcW w:w="5103" w:type="dxa"/>
            <w:gridSpan w:val="5"/>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249" w:hRule="atLeast"/>
        </w:trPr>
        <w:tc>
          <w:tcPr>
            <w:tcW w:w="4395" w:type="dxa"/>
            <w:gridSpan w:val="3"/>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c>
          <w:tcPr>
            <w:tcW w:w="5103" w:type="dxa"/>
            <w:gridSpan w:val="5"/>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42"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Площадь:</w:t>
            </w: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322"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 категории земель:</w:t>
            </w: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396"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категорию земель:</w:t>
            </w: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322"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r>
              <w:rPr>
                <w:rFonts w:ascii="Times New Roman" w:hAnsi="Times New Roman"/>
                <w:sz w:val="24"/>
                <w:szCs w:val="24"/>
              </w:rPr>
              <w:t>обоснование перевода:</w:t>
            </w: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584" w:hRule="atLeast"/>
        </w:trPr>
        <w:tc>
          <w:tcPr>
            <w:tcW w:w="4395"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права на земельный участок:</w:t>
            </w: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tc>
        <w:tc>
          <w:tcPr>
            <w:tcW w:w="5103"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322" w:hRule="atLeast"/>
        </w:trPr>
        <w:tc>
          <w:tcPr>
            <w:tcW w:w="4395"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Заявитель (полное наименование юридического лица):</w:t>
            </w: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p>
        </w:tc>
        <w:tc>
          <w:tcPr>
            <w:tcW w:w="5103" w:type="dxa"/>
            <w:gridSpan w:val="5"/>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284" w:hRule="atLeast"/>
        </w:trPr>
        <w:tc>
          <w:tcPr>
            <w:tcW w:w="4395"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cs="Times New Roman"/>
                <w:bCs/>
                <w:kern w:val="1"/>
                <w:sz w:val="24"/>
                <w:szCs w:val="24"/>
                <w:lang w:eastAsia="ar-SA"/>
              </w:rPr>
            </w:pPr>
          </w:p>
        </w:tc>
        <w:tc>
          <w:tcPr>
            <w:tcW w:w="5103" w:type="dxa"/>
            <w:gridSpan w:val="5"/>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c>
          <w:tcPr>
            <w:tcW w:w="3403" w:type="dxa"/>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ОГРН:</w:t>
            </w:r>
          </w:p>
        </w:tc>
        <w:tc>
          <w:tcPr>
            <w:tcW w:w="6095"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ИНН:</w:t>
            </w:r>
          </w:p>
        </w:tc>
      </w:tr>
      <w:tr>
        <w:tblPrEx>
          <w:tblCellMar>
            <w:top w:w="75" w:type="dxa"/>
            <w:left w:w="0" w:type="dxa"/>
            <w:bottom w:w="75" w:type="dxa"/>
            <w:right w:w="0" w:type="dxa"/>
          </w:tblCellMar>
        </w:tblPrEx>
        <w:tc>
          <w:tcPr>
            <w:tcW w:w="3403" w:type="dxa"/>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адрес местонахождения:</w:t>
            </w: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c>
          <w:tcPr>
            <w:tcW w:w="2803"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контактный телефон:</w:t>
            </w:r>
          </w:p>
        </w:tc>
        <w:tc>
          <w:tcPr>
            <w:tcW w:w="3292"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766" w:hRule="atLeast"/>
        </w:trPr>
        <w:tc>
          <w:tcPr>
            <w:tcW w:w="382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Заявитель (Ф.И.О. физического лица):</w:t>
            </w:r>
          </w:p>
        </w:tc>
        <w:tc>
          <w:tcPr>
            <w:tcW w:w="5670" w:type="dxa"/>
            <w:gridSpan w:val="6"/>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c>
          <w:tcPr>
            <w:tcW w:w="382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паспортные данные:</w:t>
            </w:r>
          </w:p>
        </w:tc>
        <w:tc>
          <w:tcPr>
            <w:tcW w:w="5670"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c>
          <w:tcPr>
            <w:tcW w:w="382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почтовый адрес:</w:t>
            </w:r>
          </w:p>
        </w:tc>
        <w:tc>
          <w:tcPr>
            <w:tcW w:w="2410"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контактный телефон:</w:t>
            </w:r>
          </w:p>
        </w:tc>
        <w:tc>
          <w:tcPr>
            <w:tcW w:w="3260"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r>
      <w:tr>
        <w:tblPrEx>
          <w:tblCellMar>
            <w:top w:w="75" w:type="dxa"/>
            <w:left w:w="0" w:type="dxa"/>
            <w:bottom w:w="75" w:type="dxa"/>
            <w:right w:w="0" w:type="dxa"/>
          </w:tblCellMar>
        </w:tblPrEx>
        <w:trPr>
          <w:trHeight w:val="752" w:hRule="atLeast"/>
        </w:trPr>
        <w:tc>
          <w:tcPr>
            <w:tcW w:w="9498" w:type="dxa"/>
            <w:gridSpan w:val="8"/>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Наименование и реквизиты документа, подтверждающего полномочия представителя:</w:t>
            </w:r>
          </w:p>
        </w:tc>
      </w:tr>
      <w:tr>
        <w:tblPrEx>
          <w:tblCellMar>
            <w:top w:w="75" w:type="dxa"/>
            <w:left w:w="0" w:type="dxa"/>
            <w:bottom w:w="75" w:type="dxa"/>
            <w:right w:w="0" w:type="dxa"/>
          </w:tblCellMar>
        </w:tblPrEx>
        <w:trPr>
          <w:trHeight w:val="547" w:hRule="atLeast"/>
        </w:trPr>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
                <w:bCs/>
                <w:kern w:val="1"/>
                <w:sz w:val="24"/>
                <w:szCs w:val="24"/>
                <w:lang w:eastAsia="ar-SA"/>
              </w:rPr>
            </w:pPr>
            <w:r>
              <w:rPr>
                <w:rFonts w:ascii="Times New Roman" w:hAnsi="Times New Roman" w:eastAsia="Lucida Sans Unicode" w:cs="Times New Roman"/>
                <w:b/>
                <w:bCs/>
                <w:kern w:val="1"/>
                <w:sz w:val="24"/>
                <w:szCs w:val="24"/>
                <w:lang w:eastAsia="ar-SA"/>
              </w:rPr>
              <w:t>Документы, прилагаемые к заявлению:</w:t>
            </w:r>
          </w:p>
        </w:tc>
        <w:tc>
          <w:tcPr>
            <w:tcW w:w="1417"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Отметка о наличии</w:t>
            </w:r>
          </w:p>
        </w:tc>
      </w:tr>
      <w:tr>
        <w:tblPrEx>
          <w:tblCellMar>
            <w:top w:w="75" w:type="dxa"/>
            <w:left w:w="0" w:type="dxa"/>
            <w:bottom w:w="75" w:type="dxa"/>
            <w:right w:w="0" w:type="dxa"/>
          </w:tblCellMar>
        </w:tblPrEx>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rPr>
          <w:trHeight w:val="1572" w:hRule="atLeast"/>
        </w:trPr>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паспорт земельного участка либо кадастровая выписка о земельном участке</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ЕГРЮЛ, являющемся заявителем</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rPr>
          <w:trHeight w:val="566" w:hRule="atLeast"/>
        </w:trPr>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rPr>
          <w:trHeight w:val="566" w:hRule="atLeast"/>
        </w:trPr>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p>
          <w:p>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rPr>
          <w:trHeight w:val="566" w:hRule="atLeast"/>
        </w:trPr>
        <w:tc>
          <w:tcPr>
            <w:tcW w:w="8081"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p>
        </w:tc>
      </w:tr>
      <w:tr>
        <w:tblPrEx>
          <w:tblCellMar>
            <w:top w:w="75" w:type="dxa"/>
            <w:left w:w="0" w:type="dxa"/>
            <w:bottom w:w="75" w:type="dxa"/>
            <w:right w:w="0" w:type="dxa"/>
          </w:tblCellMar>
        </w:tblPrEx>
        <w:trPr>
          <w:trHeight w:val="338" w:hRule="atLeast"/>
        </w:trPr>
        <w:tc>
          <w:tcPr>
            <w:tcW w:w="9498" w:type="dxa"/>
            <w:gridSpan w:val="8"/>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c>
          <w:tcPr>
            <w:tcW w:w="661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Подпись</w:t>
            </w:r>
          </w:p>
        </w:tc>
        <w:tc>
          <w:tcPr>
            <w:tcW w:w="288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eastAsia="Lucida Sans Unicode" w:cs="Times New Roman"/>
                <w:bCs/>
                <w:kern w:val="1"/>
                <w:sz w:val="24"/>
                <w:szCs w:val="24"/>
                <w:lang w:eastAsia="ar-SA"/>
              </w:rPr>
              <w:t>Дата</w:t>
            </w:r>
          </w:p>
        </w:tc>
      </w:tr>
      <w:tr>
        <w:tblPrEx>
          <w:tblCellMar>
            <w:top w:w="75" w:type="dxa"/>
            <w:left w:w="0" w:type="dxa"/>
            <w:bottom w:w="75" w:type="dxa"/>
            <w:right w:w="0" w:type="dxa"/>
          </w:tblCellMar>
        </w:tblPrEx>
        <w:trPr>
          <w:trHeight w:val="253" w:hRule="atLeast"/>
        </w:trPr>
        <w:tc>
          <w:tcPr>
            <w:tcW w:w="6616"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p>
            <w:pPr>
              <w:widowControl w:val="0"/>
              <w:suppressAutoHyphens/>
              <w:autoSpaceDE w:val="0"/>
              <w:autoSpaceDN w:val="0"/>
              <w:adjustRightInd w:val="0"/>
              <w:spacing w:after="0" w:line="240" w:lineRule="auto"/>
              <w:jc w:val="center"/>
              <w:rPr>
                <w:rFonts w:ascii="Times New Roman" w:hAnsi="Times New Roman" w:eastAsia="Lucida Sans Unicode" w:cs="Times New Roman"/>
                <w:bCs/>
                <w:kern w:val="1"/>
                <w:sz w:val="24"/>
                <w:szCs w:val="24"/>
                <w:lang w:eastAsia="ar-SA"/>
              </w:rPr>
            </w:pPr>
          </w:p>
        </w:tc>
        <w:tc>
          <w:tcPr>
            <w:tcW w:w="288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tbl>
      <w:tblPr>
        <w:tblStyle w:val="10"/>
        <w:tblpPr w:leftFromText="180" w:rightFromText="180" w:vertAnchor="text" w:horzAnchor="margin" w:tblpY="110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935" distR="114935" simplePos="0" relativeHeight="251661312" behindDoc="0" locked="0" layoutInCell="1" allowOverlap="1">
                <wp:simplePos x="0" y="0"/>
                <wp:positionH relativeFrom="column">
                  <wp:posOffset>2989580</wp:posOffset>
                </wp:positionH>
                <wp:positionV relativeFrom="paragraph">
                  <wp:posOffset>160020</wp:posOffset>
                </wp:positionV>
                <wp:extent cx="2281555" cy="791845"/>
                <wp:effectExtent l="0" t="0" r="4445" b="635"/>
                <wp:wrapTopAndBottom/>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35.4pt;margin-top:12.6pt;height:62.35pt;width:179.65pt;mso-wrap-distance-bottom:0pt;mso-wrap-distance-top:0pt;z-index:251661312;mso-width-relative:page;mso-height-relative:page;" fillcolor="#FFFFFF" filled="t" stroked="f" coordsize="21600,21600" o:gfxdata="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ODsB2QAAAAoBAAAPAAAAAAAAAAEAIAAAACIAAABkcnMvZG93bnJl&#10;di54bWxQSwECFAAUAAAACACHTuJAn1rgofwBAADtAwAADgAAAAAAAAABACAAAAAoAQAAZHJzL2Uy&#10;b0RvYy54bWxQSwUGAAAAAAYABgBZAQAAlg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Pr>
        <w:rPr>
          <w:rFonts w:ascii="Times New Roman" w:hAnsi="Times New Roman" w:cs="Times New Roman"/>
          <w:sz w:val="28"/>
          <w:szCs w:val="28"/>
        </w:rPr>
      </w:pPr>
    </w:p>
    <w:p>
      <w:pPr>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 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p>
    <w:p>
      <w:pPr>
        <w:tabs>
          <w:tab w:val="left" w:pos="1185"/>
        </w:tabs>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935" distR="114935" simplePos="0" relativeHeight="251662336" behindDoc="0" locked="0" layoutInCell="1" allowOverlap="1">
                <wp:simplePos x="0" y="0"/>
                <wp:positionH relativeFrom="column">
                  <wp:posOffset>2393950</wp:posOffset>
                </wp:positionH>
                <wp:positionV relativeFrom="paragraph">
                  <wp:posOffset>194310</wp:posOffset>
                </wp:positionV>
                <wp:extent cx="3612515" cy="4029075"/>
                <wp:effectExtent l="0" t="0" r="14605" b="9525"/>
                <wp:wrapTopAndBottom/>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3612515" cy="4029075"/>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rPr>
                              <w:t xml:space="preserve">администрации </w:t>
                            </w:r>
                            <w:r>
                              <w:rPr>
                                <w:rFonts w:hint="default" w:ascii="Times New Roman" w:hAnsi="Times New Roman" w:eastAsia="Times New Roman"/>
                                <w:bCs/>
                                <w:kern w:val="28"/>
                                <w:sz w:val="24"/>
                                <w:szCs w:val="24"/>
                                <w:lang w:val="ru-RU"/>
                              </w:rPr>
                              <w:t xml:space="preserve">  Советского</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hint="default" w:ascii="Times New Roman" w:hAnsi="Times New Roman" w:eastAsia="Times New Roman"/>
                                <w:bCs/>
                                <w:kern w:val="28"/>
                                <w:sz w:val="24"/>
                                <w:szCs w:val="24"/>
                                <w:lang w:val="ru-RU"/>
                              </w:rPr>
                              <w:t xml:space="preserve">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88.5pt;margin-top:15.3pt;height:317.25pt;width:284.45pt;mso-wrap-distance-bottom:0pt;mso-wrap-distance-top:0pt;z-index:251662336;mso-width-relative:page;mso-height-relative:page;" fillcolor="#FFFFFF" filled="t" stroked="f" coordsize="21600,21600" o:gfxdata="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HuuJtoAAAAKAQAADwAAAAAAAAABACAAAAAiAAAAZHJzL2Rvd25y&#10;ZXYueG1sUEsBAhQAFAAAAAgAh07iQO6HCsv8AQAA7gMAAA4AAAAAAAAAAQAgAAAAKQEAAGRycy9l&#10;Mm9Eb2MueG1sUEsFBgAAAAAGAAYAWQEAAJc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rPr>
                        <w:t xml:space="preserve">администрации </w:t>
                      </w:r>
                      <w:r>
                        <w:rPr>
                          <w:rFonts w:hint="default" w:ascii="Times New Roman" w:hAnsi="Times New Roman" w:eastAsia="Times New Roman"/>
                          <w:bCs/>
                          <w:kern w:val="28"/>
                          <w:sz w:val="24"/>
                          <w:szCs w:val="24"/>
                          <w:lang w:val="ru-RU"/>
                        </w:rPr>
                        <w:t xml:space="preserve">  Советского</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hint="default" w:ascii="Times New Roman" w:hAnsi="Times New Roman" w:eastAsia="Times New Roman"/>
                          <w:bCs/>
                          <w:kern w:val="28"/>
                          <w:sz w:val="24"/>
                          <w:szCs w:val="24"/>
                          <w:lang w:val="ru-RU"/>
                        </w:rPr>
                        <w:t xml:space="preserve">городского </w:t>
                      </w:r>
                      <w:r>
                        <w:rPr>
                          <w:rFonts w:ascii="Times New Roman" w:hAnsi="Times New Roman" w:eastAsia="Times New Roman"/>
                          <w:bCs/>
                          <w:kern w:val="28"/>
                          <w:sz w:val="24"/>
                          <w:szCs w:val="24"/>
                        </w:rPr>
                        <w:t xml:space="preserve">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jc w:val="both"/>
        <w:rPr>
          <w:szCs w:val="28"/>
        </w:rPr>
      </w:pPr>
    </w:p>
    <w:p>
      <w:pPr>
        <w:pStyle w:val="22"/>
        <w:widowControl/>
        <w:ind w:firstLine="426"/>
        <w:jc w:val="both"/>
        <w:rPr>
          <w:rFonts w:ascii="Times New Roman" w:hAnsi="Times New Roman"/>
          <w:b w:val="0"/>
          <w:sz w:val="28"/>
          <w:szCs w:val="28"/>
        </w:rPr>
      </w:pPr>
      <w:r>
        <w:rPr>
          <w:rFonts w:ascii="Times New Roman" w:hAnsi="Times New Roman"/>
          <w:b w:val="0"/>
          <w:sz w:val="28"/>
          <w:szCs w:val="28"/>
        </w:rPr>
        <w:t xml:space="preserve">Прошу внести изменение в решение </w:t>
      </w:r>
      <w:r>
        <w:rPr>
          <w:rFonts w:ascii="Times New Roman" w:hAnsi="Times New Roman"/>
          <w:b w:val="0"/>
          <w:sz w:val="28"/>
        </w:rPr>
        <w:t>о переводе земель или земельных участков в составе таких земель из одной категории в другую, расположенных на территории муниципального образования</w:t>
      </w:r>
      <w:r>
        <w:rPr>
          <w:rFonts w:ascii="Times New Roman" w:hAnsi="Times New Roman" w:cs="Times New Roman"/>
          <w:b w:val="0"/>
          <w:sz w:val="28"/>
          <w:szCs w:val="28"/>
        </w:rPr>
        <w:t xml:space="preserve">, </w:t>
      </w:r>
      <w:r>
        <w:rPr>
          <w:rFonts w:ascii="Times New Roman" w:hAnsi="Times New Roman"/>
          <w:b w:val="0"/>
          <w:sz w:val="28"/>
          <w:szCs w:val="28"/>
        </w:rPr>
        <w:t>утвержденное 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решения</w:t>
      </w:r>
      <w:r>
        <w:rPr>
          <w:rFonts w:ascii="Times New Roman" w:hAnsi="Times New Roman" w:cs="Times New Roman"/>
          <w:bCs/>
          <w:sz w:val="24"/>
          <w:szCs w:val="24"/>
          <w:vertAlign w:val="superscript"/>
        </w:rPr>
        <w:t>)</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szCs w:val="28"/>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Pr>
        <w:tabs>
          <w:tab w:val="left" w:pos="3780"/>
        </w:tabs>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006E3C5C"/>
    <w:lvl w:ilvl="0" w:tentative="0">
      <w:start w:val="3"/>
      <w:numFmt w:val="decimal"/>
      <w:lvlText w:val="%1."/>
      <w:lvlJc w:val="left"/>
      <w:pPr>
        <w:ind w:left="450" w:hanging="45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ascii="Times New Roman" w:hAnsi="Times New Roman" w:cs="Times New Roman"/>
        <w:b w:val="0"/>
        <w:sz w:val="28"/>
        <w:szCs w:val="28"/>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5E"/>
    <w:rsid w:val="004D2E91"/>
    <w:rsid w:val="0060755E"/>
    <w:rsid w:val="00892595"/>
    <w:rsid w:val="008B632E"/>
    <w:rsid w:val="009F7389"/>
    <w:rsid w:val="00A0782F"/>
    <w:rsid w:val="00A334EB"/>
    <w:rsid w:val="00F23D94"/>
    <w:rsid w:val="00F3128F"/>
    <w:rsid w:val="251772B9"/>
    <w:rsid w:val="38864EEB"/>
    <w:rsid w:val="4AB2089D"/>
    <w:rsid w:val="5D7F0C56"/>
    <w:rsid w:val="7DED639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38</Pages>
  <Words>11284</Words>
  <Characters>64324</Characters>
  <Lines>536</Lines>
  <Paragraphs>150</Paragraphs>
  <TotalTime>6</TotalTime>
  <ScaleCrop>false</ScaleCrop>
  <LinksUpToDate>false</LinksUpToDate>
  <CharactersWithSpaces>75458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2020-06-09T04:50:00Z</dcterms:created>
  <dc:creator>User</dc:creator>
  <cp:lastModifiedBy>Elena</cp:lastModifiedBy>
  <cp:lastPrinted>2020-07-08T04:50:00Z</cp:lastPrinted>
  <dcterms:modified xsi:type="dcterms:W3CDTF">2020-07-09T07:14:21Z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