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F8" w:rsidRPr="00605FF8" w:rsidRDefault="00605FF8" w:rsidP="00605FF8">
      <w:pPr>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Муниципальный контракт № 168-2/14</w:t>
      </w:r>
    </w:p>
    <w:p w:rsidR="00605FF8" w:rsidRPr="00605FF8" w:rsidRDefault="00605FF8" w:rsidP="00605FF8">
      <w:pPr>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на выполнение работ по ремонту автомобильной дороги общего пользования в п. Обильный, ул. Набережная для нужд муниципального образования Обильновский сельсовет.</w:t>
      </w:r>
    </w:p>
    <w:p w:rsidR="00605FF8" w:rsidRPr="00605FF8" w:rsidRDefault="00605FF8" w:rsidP="00605FF8">
      <w:pPr>
        <w:spacing w:before="120" w:after="120" w:line="240" w:lineRule="auto"/>
        <w:jc w:val="center"/>
        <w:rPr>
          <w:rFonts w:ascii="Times New Roman" w:eastAsia="Times New Roman" w:hAnsi="Times New Roman" w:cs="Times New Roman"/>
          <w:b/>
          <w:sz w:val="24"/>
          <w:szCs w:val="24"/>
          <w:lang w:eastAsia="ru-RU"/>
        </w:rPr>
      </w:pPr>
      <w:proofErr w:type="gramStart"/>
      <w:r w:rsidRPr="00605FF8">
        <w:rPr>
          <w:rFonts w:ascii="Times New Roman" w:eastAsia="Times New Roman" w:hAnsi="Times New Roman" w:cs="Times New Roman"/>
          <w:sz w:val="24"/>
          <w:szCs w:val="24"/>
          <w:lang w:eastAsia="ru-RU"/>
        </w:rPr>
        <w:t>п</w:t>
      </w:r>
      <w:proofErr w:type="gramEnd"/>
      <w:r w:rsidRPr="00605FF8">
        <w:rPr>
          <w:rFonts w:ascii="Times New Roman" w:eastAsia="Times New Roman" w:hAnsi="Times New Roman" w:cs="Times New Roman"/>
          <w:sz w:val="24"/>
          <w:szCs w:val="24"/>
          <w:lang w:eastAsia="ru-RU"/>
        </w:rPr>
        <w:t xml:space="preserve">. Обильный   </w:t>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r>
      <w:r w:rsidRPr="00605FF8">
        <w:rPr>
          <w:rFonts w:ascii="Times New Roman" w:eastAsia="Times New Roman" w:hAnsi="Times New Roman" w:cs="Times New Roman"/>
          <w:sz w:val="24"/>
          <w:szCs w:val="24"/>
          <w:lang w:eastAsia="ru-RU"/>
        </w:rPr>
        <w:tab/>
        <w:t>«____» ____________ 2014 г.</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Администрация муниципального образования Обильновский сельсовет, именуемая в дальнейшем «Заказчик», в лице главы администрации Лушкина Александра Алексеевича, действующей на основании Устава, с одной стороны, и Государственное унитарное предприятие Оренбургской области «Оренбургремдорстрой», именуемое в дальнейшем «Подрядчик», в лице генерального директора Вдовина Михаила Ивановича, действующего на основании Устава, с другой стороны, совместно именуемые в дальнейшем «Стороны», заключили настоящий муниципальный контракт (далее – Контракт) о</w:t>
      </w:r>
      <w:proofErr w:type="gramEnd"/>
      <w:r w:rsidRPr="00605FF8">
        <w:rPr>
          <w:rFonts w:ascii="Times New Roman" w:eastAsia="Times New Roman" w:hAnsi="Times New Roman" w:cs="Times New Roman"/>
          <w:sz w:val="24"/>
          <w:szCs w:val="24"/>
          <w:lang w:eastAsia="ru-RU"/>
        </w:rPr>
        <w:t xml:space="preserve"> </w:t>
      </w:r>
      <w:proofErr w:type="gramStart"/>
      <w:r w:rsidRPr="00605FF8">
        <w:rPr>
          <w:rFonts w:ascii="Times New Roman" w:eastAsia="Times New Roman" w:hAnsi="Times New Roman" w:cs="Times New Roman"/>
          <w:sz w:val="24"/>
          <w:szCs w:val="24"/>
          <w:lang w:eastAsia="ru-RU"/>
        </w:rPr>
        <w:t>нижеследующем</w:t>
      </w:r>
      <w:proofErr w:type="gramEnd"/>
      <w:r w:rsidRPr="00605FF8">
        <w:rPr>
          <w:rFonts w:ascii="Times New Roman" w:eastAsia="Times New Roman" w:hAnsi="Times New Roman" w:cs="Times New Roman"/>
          <w:sz w:val="24"/>
          <w:szCs w:val="24"/>
          <w:lang w:eastAsia="ru-RU"/>
        </w:rPr>
        <w:t>.</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1. Предмет Контракта.</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1.1. Заказчик поручает, а Подрядчик  принимает на себя обязательства по выполнению работ по ремонту автомобильной дороги общего пользования в п. Обильный, ул. Набережная для нужд муниципального образования Обильновский сельсовет в соответствии с Техническим заданием (приложение № 1 к Контракту).</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 xml:space="preserve">1.2. Работы производятся из материала Подрядчика </w:t>
      </w:r>
      <w:proofErr w:type="gramStart"/>
      <w:r w:rsidRPr="00605FF8">
        <w:rPr>
          <w:rFonts w:ascii="Times New Roman" w:eastAsia="Times New Roman" w:hAnsi="Times New Roman" w:cs="Times New Roman"/>
          <w:color w:val="000000"/>
          <w:sz w:val="24"/>
          <w:szCs w:val="24"/>
          <w:lang w:eastAsia="ru-RU"/>
        </w:rPr>
        <w:t>согласно</w:t>
      </w:r>
      <w:proofErr w:type="gramEnd"/>
      <w:r w:rsidRPr="00605FF8">
        <w:rPr>
          <w:rFonts w:ascii="Times New Roman" w:eastAsia="Times New Roman" w:hAnsi="Times New Roman" w:cs="Times New Roman"/>
          <w:color w:val="000000"/>
          <w:sz w:val="24"/>
          <w:szCs w:val="24"/>
          <w:lang w:eastAsia="ru-RU"/>
        </w:rPr>
        <w:t xml:space="preserve"> технического задания, локально-сметного расчета, в установленные сроки в соответствии с требованиями по ремонту автомобильных дорог общего пользования.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1.3. Работы производятся оборудованием, машинами, механизмами, инструментами Подрядчика</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1.4. Качество выполняемых работ должно соответствовать требованиям действующих ГОСТов, СНиПов, ТУ, др. НТД. Гарантия на выполненные работы – не менее 2 (двух) лет.</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1.5. Применяемые материалы, изделия и оборудование должны соответствовать ГОСТам и должны быть разрешены к применению.</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2. Цена Контракта и порядок расчетов</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2.1. Цена Контракта составляет 349040,00 (Триста сорок девять тысяч сорок) рублей 00 копеек</w:t>
      </w:r>
      <w:proofErr w:type="gramStart"/>
      <w:r w:rsidRPr="00605FF8">
        <w:rPr>
          <w:rFonts w:ascii="Times New Roman" w:eastAsia="Times New Roman" w:hAnsi="Times New Roman" w:cs="Times New Roman"/>
          <w:sz w:val="24"/>
          <w:szCs w:val="24"/>
          <w:lang w:eastAsia="ru-RU"/>
        </w:rPr>
        <w:t xml:space="preserve">.. </w:t>
      </w:r>
      <w:proofErr w:type="gramEnd"/>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2.2. В цену Контракта включены все расходы, связанные с исполнением Подрядчиком всех обязательств по Контракту, в том числе на уплату налогов, сборов и других обязательных платежей.</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2.3. Цена Контракта является твердой и определяется на весь срок исполнения Контракта.</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2.4. Заказчик оплачивает выполненные работы на основании выставленного Подрядчиком счета/</w:t>
      </w:r>
      <w:proofErr w:type="gramStart"/>
      <w:r w:rsidRPr="00605FF8">
        <w:rPr>
          <w:rFonts w:ascii="Times New Roman" w:eastAsia="Times New Roman" w:hAnsi="Times New Roman" w:cs="Times New Roman"/>
          <w:sz w:val="24"/>
          <w:szCs w:val="24"/>
          <w:lang w:eastAsia="ru-RU"/>
        </w:rPr>
        <w:t>счет-фактуры</w:t>
      </w:r>
      <w:proofErr w:type="gramEnd"/>
      <w:r w:rsidRPr="00605FF8">
        <w:rPr>
          <w:rFonts w:ascii="Times New Roman" w:eastAsia="Times New Roman" w:hAnsi="Times New Roman" w:cs="Times New Roman"/>
          <w:sz w:val="24"/>
          <w:szCs w:val="24"/>
          <w:lang w:eastAsia="ru-RU"/>
        </w:rPr>
        <w:t>, составленной на основании акта выполненных работ (оказанных услуг), путем перевода денежных средств на расчетный счет Подрядчика в течение 30 (тридцати) дней со дня сдачи выполненных работ.</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2.5. Оплата за выполненные работы осуществляется за счет средств областного и местного бюджетов.</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2.6. Оплата производится за фактически выполненные работы.</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3. Обязанности Сторон</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3.1. Подрядчик обязан:</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sz w:val="24"/>
          <w:szCs w:val="24"/>
          <w:lang w:eastAsia="ru-RU"/>
        </w:rPr>
        <w:lastRenderedPageBreak/>
        <w:t xml:space="preserve">3.1.1. </w:t>
      </w:r>
      <w:r w:rsidRPr="00605FF8">
        <w:rPr>
          <w:rFonts w:ascii="Times New Roman" w:eastAsia="Times New Roman" w:hAnsi="Times New Roman" w:cs="Times New Roman"/>
          <w:color w:val="000000"/>
          <w:sz w:val="24"/>
          <w:szCs w:val="24"/>
          <w:lang w:eastAsia="ru-RU"/>
        </w:rPr>
        <w:t xml:space="preserve">В срок до 31.12.2014 г. </w:t>
      </w:r>
      <w:r w:rsidRPr="00605FF8">
        <w:rPr>
          <w:rFonts w:ascii="Times New Roman" w:eastAsia="Times New Roman" w:hAnsi="Times New Roman" w:cs="Times New Roman"/>
          <w:sz w:val="24"/>
          <w:szCs w:val="24"/>
          <w:lang w:eastAsia="ru-RU"/>
        </w:rPr>
        <w:t>выполнить работы по ремонту автомобильной дороги общего пользования в п. Обильный, ул. Набережная для нужд муниципального образования Обильновский сельсовет</w:t>
      </w:r>
      <w:r w:rsidRPr="00605FF8">
        <w:rPr>
          <w:rFonts w:ascii="Times New Roman" w:eastAsia="Times New Roman" w:hAnsi="Times New Roman" w:cs="Times New Roman"/>
          <w:color w:val="000000"/>
          <w:sz w:val="24"/>
          <w:szCs w:val="24"/>
          <w:lang w:eastAsia="ru-RU"/>
        </w:rPr>
        <w:t>, указанные в Техническом задании (Приложение № 1).</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3.1.2. Производить работы в полном соответствии с техническим заданием и сметной документацией, действующими строительными нормами и правилами из материала Подрядчика.</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3.1.3. В ходе выполнения работ обеспечивать выполнение на объекте мероприятий по технике безопасности, содержанию и уборке объекта и прилегающей территории.</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3.1.4. В согласованные с Заказчиком сроки безвозмездно устранить недостатки, выявленные при приемке выполненных работ и в течение гарантийного срока эксплуатации объекта, гарантийный срок в этом случае продлевается на период устранения дефектов.</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3.1.5. Поставлять на объект необходимые материалы, оборудование, изделия, конструкции, строительную технику и инструмент.</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3.1.6. Обеспечить выполнение необходимых мероприятий по технике безопасности, охране окружающей среды и соблюдению правил санитарии во время проведения работ на объекте.</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3.1.7. Организовать в трехдневный срок, после подписания акта приемки выполненных работ, вывоз за пределы объекта строительного инвентаря, инструментов, материалов, другого имущества и строительного мусора.</w:t>
      </w:r>
    </w:p>
    <w:p w:rsidR="00605FF8" w:rsidRPr="00605FF8" w:rsidRDefault="00605FF8" w:rsidP="00605FF8">
      <w:pPr>
        <w:tabs>
          <w:tab w:val="left" w:pos="426"/>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3.1.8. Выполнить в полном объеме все свои обязанности, предусмотренные документацией об аукционе.</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 xml:space="preserve">3.1.9. Перед началом работ назначить своего представителя, ответственного за обеспечение проведения работ.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color w:val="000000"/>
          <w:sz w:val="24"/>
          <w:szCs w:val="24"/>
          <w:lang w:eastAsia="ru-RU"/>
        </w:rPr>
      </w:pPr>
      <w:r w:rsidRPr="00605FF8">
        <w:rPr>
          <w:rFonts w:ascii="Times New Roman" w:eastAsia="Times New Roman" w:hAnsi="Times New Roman" w:cs="Times New Roman"/>
          <w:color w:val="000000"/>
          <w:sz w:val="24"/>
          <w:szCs w:val="24"/>
          <w:lang w:eastAsia="ru-RU"/>
        </w:rPr>
        <w:t>3.1.10. Если закрытие работ, подлежащих освидетельствованию,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3.2. Заказчик обязан:</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3.2.1. Принять выполненные работы по количеству, качеству, объему, а также произвести оплату выполненных работ в порядке, предусмотренном разделом 2 настоящего Контракта.</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color w:val="000000"/>
          <w:sz w:val="24"/>
          <w:szCs w:val="24"/>
          <w:lang w:eastAsia="ru-RU"/>
        </w:rPr>
        <w:t>3.2.2. Назначить своего представителя, ответственного за осуществление контроля и надзора за выполнением работ, соблюдением сроков и исполнением условий Контракта.</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4. Порядок приемки выполненных работ</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4.1. При завершении выполнения работ Подрядчик извещает Заказчика об окончании выполнения работ. </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4.2. Заказчик, получивший сообщение Подрядчика, в срок не более 3-х дней приступает к приемке выполненных работ, осуществляет мероприятия, связанные с приемкой работ. </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4.3. Сдача выполненных работ Подрядчиком и приемка их Заказчиком оформляется актами выполненных работ (оказанных услуг), подписанными Сторонами, с соблюдением требований, установленных законодательством при условии, что работы выполнены надлежащим образом. Акты выполненных работ (оказанных услуг) представляются Подрядчиком в течение 3-х дней после завершения выполнения работ.</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4.4. При обнаружении Заказчиком в ходе приемки выполненных работ недостатков или несоответствия результатов работ техническому заданию и сметной документации </w:t>
      </w:r>
      <w:r w:rsidRPr="00605FF8">
        <w:rPr>
          <w:rFonts w:ascii="Times New Roman" w:eastAsia="Times New Roman" w:hAnsi="Times New Roman" w:cs="Times New Roman"/>
          <w:sz w:val="24"/>
          <w:szCs w:val="24"/>
          <w:lang w:eastAsia="ru-RU"/>
        </w:rPr>
        <w:lastRenderedPageBreak/>
        <w:t xml:space="preserve">Сторонами составляется акт, в котором фиксируется перечень дефектов (недоделок) и сроки их устранения Подрядчиком. </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по выбору Заказчика.</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Подрядчик обязан устранить все обнаруженные недостатки своими силами и за свой счет в сроки, указанные в акте.</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 </w:t>
      </w:r>
    </w:p>
    <w:p w:rsidR="00605FF8" w:rsidRPr="00605FF8" w:rsidRDefault="00605FF8" w:rsidP="00605FF8">
      <w:pPr>
        <w:widowControl w:val="0"/>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4.5. Заказчик вправе отказаться от приемки выполненных работ в случае обнаружения </w:t>
      </w:r>
      <w:proofErr w:type="gramStart"/>
      <w:r w:rsidRPr="00605FF8">
        <w:rPr>
          <w:rFonts w:ascii="Times New Roman" w:eastAsia="Times New Roman" w:hAnsi="Times New Roman" w:cs="Times New Roman"/>
          <w:sz w:val="24"/>
          <w:szCs w:val="24"/>
          <w:lang w:eastAsia="ru-RU"/>
        </w:rPr>
        <w:t>недостатков</w:t>
      </w:r>
      <w:proofErr w:type="gramEnd"/>
      <w:r w:rsidRPr="00605FF8">
        <w:rPr>
          <w:rFonts w:ascii="Times New Roman" w:eastAsia="Times New Roman" w:hAnsi="Times New Roman" w:cs="Times New Roman"/>
          <w:sz w:val="24"/>
          <w:szCs w:val="24"/>
          <w:lang w:eastAsia="ru-RU"/>
        </w:rPr>
        <w:t xml:space="preserve"> если они не могут быть устранены Подрядчиком.</w:t>
      </w:r>
    </w:p>
    <w:p w:rsidR="00605FF8" w:rsidRPr="00605FF8" w:rsidRDefault="00605FF8" w:rsidP="00605FF8">
      <w:pPr>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4.6. Датой сдачи выполненных работ считается дата подписания актов  выполненных работ (оказанных услуг) Сторонами. </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5. Ответственность Сторон</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5.1. 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5.2.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605FF8">
        <w:rPr>
          <w:rFonts w:ascii="Times New Roman" w:eastAsia="Times New Roman" w:hAnsi="Times New Roman" w:cs="Times New Roman"/>
          <w:sz w:val="24"/>
          <w:szCs w:val="24"/>
          <w:lang w:eastAsia="ru-RU"/>
        </w:rPr>
        <w:t>Размер штрафа устанавливается в соответствии с постановлением Правительства РФ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1063</w:t>
      </w:r>
      <w:proofErr w:type="gramEnd"/>
      <w:r w:rsidRPr="00605FF8">
        <w:rPr>
          <w:rFonts w:ascii="Times New Roman" w:eastAsia="Times New Roman" w:hAnsi="Times New Roman" w:cs="Times New Roman"/>
          <w:sz w:val="24"/>
          <w:szCs w:val="24"/>
          <w:lang w:eastAsia="ru-RU"/>
        </w:rPr>
        <w:t xml:space="preserve">)  в размере 2,5% цены Контракта, что составляет </w:t>
      </w:r>
      <w:r>
        <w:rPr>
          <w:rFonts w:ascii="Times New Roman" w:eastAsia="Times New Roman" w:hAnsi="Times New Roman" w:cs="Times New Roman"/>
          <w:sz w:val="24"/>
          <w:szCs w:val="24"/>
          <w:lang w:eastAsia="ru-RU"/>
        </w:rPr>
        <w:t>8726,00</w:t>
      </w:r>
      <w:r w:rsidRPr="0060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 тысяч семьсот двадцать шесть) рублей</w:t>
      </w:r>
      <w:r w:rsidRPr="0060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605FF8">
        <w:rPr>
          <w:rFonts w:ascii="Times New Roman" w:eastAsia="Times New Roman" w:hAnsi="Times New Roman" w:cs="Times New Roman"/>
          <w:sz w:val="24"/>
          <w:szCs w:val="24"/>
          <w:lang w:eastAsia="ru-RU"/>
        </w:rPr>
        <w:t xml:space="preserve"> копеек.</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5.3.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рассчитывается по Правилам определения размера пени, начисляемой за каждый день просрочки исполнения Подрядчиком обязательства</w:t>
      </w:r>
      <w:proofErr w:type="gramEnd"/>
      <w:r w:rsidRPr="00605FF8">
        <w:rPr>
          <w:rFonts w:ascii="Times New Roman" w:eastAsia="Times New Roman" w:hAnsi="Times New Roman" w:cs="Times New Roman"/>
          <w:sz w:val="24"/>
          <w:szCs w:val="24"/>
          <w:lang w:eastAsia="ru-RU"/>
        </w:rPr>
        <w:t xml:space="preserve">, </w:t>
      </w:r>
      <w:proofErr w:type="gramStart"/>
      <w:r w:rsidRPr="00605FF8">
        <w:rPr>
          <w:rFonts w:ascii="Times New Roman" w:eastAsia="Times New Roman" w:hAnsi="Times New Roman" w:cs="Times New Roman"/>
          <w:sz w:val="24"/>
          <w:szCs w:val="24"/>
          <w:lang w:eastAsia="ru-RU"/>
        </w:rPr>
        <w:t>предусмотренного</w:t>
      </w:r>
      <w:proofErr w:type="gramEnd"/>
      <w:r w:rsidRPr="00605FF8">
        <w:rPr>
          <w:rFonts w:ascii="Times New Roman" w:eastAsia="Times New Roman" w:hAnsi="Times New Roman" w:cs="Times New Roman"/>
          <w:sz w:val="24"/>
          <w:szCs w:val="24"/>
          <w:lang w:eastAsia="ru-RU"/>
        </w:rPr>
        <w:t xml:space="preserve"> контрактом, утвержденным Постановлением № 1063.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lastRenderedPageBreak/>
        <w:t xml:space="preserve">Штрафы начисляются за неисполнение 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Постановлением № 1063  в виде фиксированной суммы в размере </w:t>
      </w:r>
      <w:r>
        <w:rPr>
          <w:rFonts w:ascii="Times New Roman" w:eastAsia="Times New Roman" w:hAnsi="Times New Roman" w:cs="Times New Roman"/>
          <w:sz w:val="24"/>
          <w:szCs w:val="24"/>
          <w:lang w:eastAsia="ru-RU"/>
        </w:rPr>
        <w:t>34904,00</w:t>
      </w:r>
      <w:r w:rsidRPr="0060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Тридцать четыре тысячи девятьсот четыре</w:t>
      </w:r>
      <w:r w:rsidRPr="00605FF8">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лей</w:t>
      </w:r>
      <w:r w:rsidRPr="0060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r w:rsidRPr="00605FF8">
        <w:rPr>
          <w:rFonts w:ascii="Times New Roman" w:eastAsia="Times New Roman" w:hAnsi="Times New Roman" w:cs="Times New Roman"/>
          <w:sz w:val="24"/>
          <w:szCs w:val="24"/>
          <w:lang w:eastAsia="ru-RU"/>
        </w:rPr>
        <w:t xml:space="preserve"> копеек, что составляет 10 % от цены Контракта.</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Уплата неустойки (штрафа, пеней) не освобождает Стороны от выполнения обязательств по Контракту.</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5.5. Расторжение Контракта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6. Форс-мажор</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6.1. </w:t>
      </w:r>
      <w:proofErr w:type="gramStart"/>
      <w:r w:rsidRPr="00605FF8">
        <w:rPr>
          <w:rFonts w:ascii="Times New Roman" w:eastAsia="Times New Roman" w:hAnsi="Times New Roman" w:cs="Times New Roman"/>
          <w:sz w:val="24"/>
          <w:szCs w:val="24"/>
          <w:lang w:eastAsia="ru-RU"/>
        </w:rPr>
        <w:t>Если в ходе выполнения работ обнаруживается невозможность исполнения  Сторонами обязательств по Контракту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Контрактом сроки, одна Сторона обязана в трехдневный срок письменно известить другую Сторону о наступлении таких обстоятельств</w:t>
      </w:r>
      <w:proofErr w:type="gramEnd"/>
      <w:r w:rsidRPr="00605FF8">
        <w:rPr>
          <w:rFonts w:ascii="Times New Roman" w:eastAsia="Times New Roman" w:hAnsi="Times New Roman" w:cs="Times New Roman"/>
          <w:sz w:val="24"/>
          <w:szCs w:val="24"/>
          <w:lang w:eastAsia="ru-RU"/>
        </w:rPr>
        <w:t>, принять все возможные меры по уменьшению их неблагоприятных последствий на выполнение обязательств по Контракту и вступить в переговоры о продлении или прекращении действия Контракта, либо об изменении условий Контракта. В результате переговоров составляется двухсторонний акт, подписанный Сторонами.</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7. Прочие условия</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7.1. Настоящий Контракт составлен в форме электронного документа, подписанного усиленными электронными подписями Сторон, а также, по соглашению Сторон, в 2 (Двух) экземплярах на бумажном носителе, один из которых передается Подрядчику, а второй находится у Заказчика.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7.2. Настоящий Контра</w:t>
      </w:r>
      <w:proofErr w:type="gramStart"/>
      <w:r w:rsidRPr="00605FF8">
        <w:rPr>
          <w:rFonts w:ascii="Times New Roman" w:eastAsia="Times New Roman" w:hAnsi="Times New Roman" w:cs="Times New Roman"/>
          <w:sz w:val="24"/>
          <w:szCs w:val="24"/>
          <w:lang w:eastAsia="ru-RU"/>
        </w:rPr>
        <w:t>кт вст</w:t>
      </w:r>
      <w:proofErr w:type="gramEnd"/>
      <w:r w:rsidRPr="00605FF8">
        <w:rPr>
          <w:rFonts w:ascii="Times New Roman" w:eastAsia="Times New Roman" w:hAnsi="Times New Roman" w:cs="Times New Roman"/>
          <w:sz w:val="24"/>
          <w:szCs w:val="24"/>
          <w:lang w:eastAsia="ru-RU"/>
        </w:rPr>
        <w:t>упает в силу после его подписания Сторонами и</w:t>
      </w:r>
      <w:r>
        <w:rPr>
          <w:rFonts w:ascii="Times New Roman" w:eastAsia="Times New Roman" w:hAnsi="Times New Roman" w:cs="Times New Roman"/>
          <w:sz w:val="24"/>
          <w:szCs w:val="24"/>
          <w:lang w:eastAsia="ru-RU"/>
        </w:rPr>
        <w:t xml:space="preserve"> действует до 31.12.2014 г. и </w:t>
      </w:r>
      <w:r w:rsidRPr="00605FF8">
        <w:rPr>
          <w:rFonts w:ascii="Times New Roman" w:eastAsia="Times New Roman" w:hAnsi="Times New Roman" w:cs="Times New Roman"/>
          <w:sz w:val="24"/>
          <w:szCs w:val="24"/>
          <w:lang w:eastAsia="ru-RU"/>
        </w:rPr>
        <w:t>до исполнения Сторонами своих обязательств.</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7.3. Настоящий </w:t>
      </w:r>
      <w:proofErr w:type="gramStart"/>
      <w:r w:rsidRPr="00605FF8">
        <w:rPr>
          <w:rFonts w:ascii="Times New Roman" w:eastAsia="Times New Roman" w:hAnsi="Times New Roman" w:cs="Times New Roman"/>
          <w:sz w:val="24"/>
          <w:szCs w:val="24"/>
          <w:lang w:eastAsia="ru-RU"/>
        </w:rPr>
        <w:t>Контракт</w:t>
      </w:r>
      <w:proofErr w:type="gramEnd"/>
      <w:r w:rsidRPr="00605FF8">
        <w:rPr>
          <w:rFonts w:ascii="Times New Roman" w:eastAsia="Times New Roman" w:hAnsi="Times New Roman" w:cs="Times New Roman"/>
          <w:sz w:val="24"/>
          <w:szCs w:val="24"/>
          <w:lang w:eastAsia="ru-RU"/>
        </w:rPr>
        <w:t xml:space="preserve"> может быть расторгнут по соглашению Сторон или решению суда по основаниям, предусмотренным гражданским законодательством. </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7.4. Условием заключения Контракта является предоставление Подрядчиком обеспечения исполнения Контракта. Размер обеспечения исполнения Контракта составляет 69808,00 (Шестьдесят девять тысяч восемьсот восемь) рублей 00 копеек.</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7.5. В случае</w:t>
      </w:r>
      <w:proofErr w:type="gramStart"/>
      <w:r w:rsidRPr="00605FF8">
        <w:rPr>
          <w:rFonts w:ascii="Times New Roman" w:eastAsia="Times New Roman" w:hAnsi="Times New Roman" w:cs="Times New Roman"/>
          <w:sz w:val="24"/>
          <w:szCs w:val="24"/>
          <w:lang w:eastAsia="ru-RU"/>
        </w:rPr>
        <w:t>,</w:t>
      </w:r>
      <w:proofErr w:type="gramEnd"/>
      <w:r w:rsidRPr="00605FF8">
        <w:rPr>
          <w:rFonts w:ascii="Times New Roman" w:eastAsia="Times New Roman" w:hAnsi="Times New Roman" w:cs="Times New Roman"/>
          <w:sz w:val="24"/>
          <w:szCs w:val="24"/>
          <w:lang w:eastAsia="ru-RU"/>
        </w:rPr>
        <w:t xml:space="preserve">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7.6. В случае</w:t>
      </w:r>
      <w:proofErr w:type="gramStart"/>
      <w:r w:rsidRPr="00605FF8">
        <w:rPr>
          <w:rFonts w:ascii="Times New Roman" w:eastAsia="Times New Roman" w:hAnsi="Times New Roman" w:cs="Times New Roman"/>
          <w:sz w:val="24"/>
          <w:szCs w:val="24"/>
          <w:lang w:eastAsia="ru-RU"/>
        </w:rPr>
        <w:t>,</w:t>
      </w:r>
      <w:proofErr w:type="gramEnd"/>
      <w:r w:rsidRPr="00605FF8">
        <w:rPr>
          <w:rFonts w:ascii="Times New Roman" w:eastAsia="Times New Roman" w:hAnsi="Times New Roman" w:cs="Times New Roman"/>
          <w:sz w:val="24"/>
          <w:szCs w:val="24"/>
          <w:lang w:eastAsia="ru-RU"/>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обеспеченную банковской гарантией.</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lastRenderedPageBreak/>
        <w:t>7.7. В случае</w:t>
      </w:r>
      <w:proofErr w:type="gramStart"/>
      <w:r w:rsidRPr="00605FF8">
        <w:rPr>
          <w:rFonts w:ascii="Times New Roman" w:eastAsia="Times New Roman" w:hAnsi="Times New Roman" w:cs="Times New Roman"/>
          <w:sz w:val="24"/>
          <w:szCs w:val="24"/>
          <w:lang w:eastAsia="ru-RU"/>
        </w:rPr>
        <w:t>,</w:t>
      </w:r>
      <w:proofErr w:type="gramEnd"/>
      <w:r w:rsidRPr="00605FF8">
        <w:rPr>
          <w:rFonts w:ascii="Times New Roman" w:eastAsia="Times New Roman" w:hAnsi="Times New Roman" w:cs="Times New Roman"/>
          <w:sz w:val="24"/>
          <w:szCs w:val="24"/>
          <w:lang w:eastAsia="ru-RU"/>
        </w:rPr>
        <w:t xml:space="preserve">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Подрядчику не ранее 30 (Тридцати) календарных дней после исполнения (прекращения) обязательств по Контракту. Денежные средства возвращаются Заказчиком на основании письменного требования Подрядчика по Контракту на банковский счет, указанный в Контракте.</w:t>
      </w:r>
    </w:p>
    <w:p w:rsidR="00605FF8" w:rsidRPr="00605FF8" w:rsidRDefault="00605FF8" w:rsidP="00605FF8">
      <w:pPr>
        <w:tabs>
          <w:tab w:val="left" w:pos="360"/>
        </w:tabs>
        <w:spacing w:before="120" w:after="12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7.8. Все спорные вопросы и разногласия, которые могут возникнуть между Заказчиком и Подрядчиком в ходе исполнения настоящего Контракта, Стороны обязуются решать путём прямых переговоров, взаимных консультаций и приложат все усилия для их урегулирования. При невозможности разрешения споров и разногласий путём переговоров спорные вопросы разрешаются в соответствии с действующим законодательством Российской Федерации. </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7.9. К настоящему Контракту прилагаются и являются его неотъемлемыми частями следующие приложения:</w:t>
      </w:r>
    </w:p>
    <w:p w:rsidR="00605FF8" w:rsidRPr="00605FF8" w:rsidRDefault="00605FF8" w:rsidP="00605FF8">
      <w:pPr>
        <w:keepNext/>
        <w:tabs>
          <w:tab w:val="left" w:pos="3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7.9.1. Техническое задание (Приложение № 1)</w:t>
      </w:r>
    </w:p>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8. Реквизиты Сторон</w:t>
      </w:r>
    </w:p>
    <w:tbl>
      <w:tblPr>
        <w:tblW w:w="10308" w:type="dxa"/>
        <w:jc w:val="center"/>
        <w:tblLook w:val="01E0" w:firstRow="1" w:lastRow="1" w:firstColumn="1" w:lastColumn="1" w:noHBand="0" w:noVBand="0"/>
      </w:tblPr>
      <w:tblGrid>
        <w:gridCol w:w="108"/>
        <w:gridCol w:w="5114"/>
        <w:gridCol w:w="166"/>
        <w:gridCol w:w="4754"/>
        <w:gridCol w:w="166"/>
      </w:tblGrid>
      <w:tr w:rsidR="00605FF8" w:rsidRPr="00605FF8" w:rsidTr="008966B0">
        <w:trPr>
          <w:gridAfter w:val="1"/>
          <w:wAfter w:w="166" w:type="dxa"/>
          <w:jc w:val="center"/>
        </w:trPr>
        <w:tc>
          <w:tcPr>
            <w:tcW w:w="5222" w:type="dxa"/>
            <w:gridSpan w:val="2"/>
            <w:vAlign w:val="center"/>
          </w:tcPr>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Заказчик:</w:t>
            </w:r>
          </w:p>
        </w:tc>
        <w:tc>
          <w:tcPr>
            <w:tcW w:w="4920" w:type="dxa"/>
            <w:gridSpan w:val="2"/>
            <w:vAlign w:val="center"/>
          </w:tcPr>
          <w:p w:rsidR="00605FF8" w:rsidRPr="00605FF8" w:rsidRDefault="00605FF8" w:rsidP="00605FF8">
            <w:pPr>
              <w:tabs>
                <w:tab w:val="left" w:pos="360"/>
              </w:tabs>
              <w:spacing w:before="120" w:after="12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Подрядчик:</w:t>
            </w:r>
          </w:p>
        </w:tc>
      </w:tr>
      <w:tr w:rsidR="00605FF8" w:rsidRPr="00605FF8" w:rsidTr="008966B0">
        <w:trPr>
          <w:gridAfter w:val="1"/>
          <w:wAfter w:w="166" w:type="dxa"/>
          <w:jc w:val="center"/>
        </w:trPr>
        <w:tc>
          <w:tcPr>
            <w:tcW w:w="5222" w:type="dxa"/>
            <w:gridSpan w:val="2"/>
          </w:tcPr>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Администрация муниципального образования Обильновский сельсовет </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 xml:space="preserve">462835, Оренбургская область, Адамовский район, п. Обильный, ул. Советская, д. 9 </w:t>
            </w:r>
            <w:proofErr w:type="gramEnd"/>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ИНН 5619005596</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КПП 561901001</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Р</w:t>
            </w:r>
            <w:proofErr w:type="gramEnd"/>
            <w:r w:rsidRPr="00605FF8">
              <w:rPr>
                <w:rFonts w:ascii="Times New Roman" w:eastAsia="Times New Roman" w:hAnsi="Times New Roman" w:cs="Times New Roman"/>
                <w:sz w:val="24"/>
                <w:szCs w:val="24"/>
                <w:lang w:eastAsia="ru-RU"/>
              </w:rPr>
              <w:t>/с 40204810200000000406 в ГРКЦ ГУ Банка России по Оренбургской области г. Оренбург</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БИК 045354001</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ОГРН 1055635031220</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Тел.: 8 (35365) 26-6-17</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Банковские реквизиты для перечисления денежных сре</w:t>
            </w:r>
            <w:proofErr w:type="gramStart"/>
            <w:r w:rsidRPr="00605FF8">
              <w:rPr>
                <w:rFonts w:ascii="Times New Roman" w:eastAsia="Times New Roman" w:hAnsi="Times New Roman" w:cs="Times New Roman"/>
                <w:sz w:val="24"/>
                <w:szCs w:val="24"/>
                <w:lang w:eastAsia="ru-RU"/>
              </w:rPr>
              <w:t>дств в к</w:t>
            </w:r>
            <w:proofErr w:type="gramEnd"/>
            <w:r w:rsidRPr="00605FF8">
              <w:rPr>
                <w:rFonts w:ascii="Times New Roman" w:eastAsia="Times New Roman" w:hAnsi="Times New Roman" w:cs="Times New Roman"/>
                <w:sz w:val="24"/>
                <w:szCs w:val="24"/>
                <w:lang w:eastAsia="ru-RU"/>
              </w:rPr>
              <w:t>ачестве обеспечения исполнения настоящего Контракта:</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Финансовый отдел администрации Адамовского района</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ИНН 5619004306</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КПП 561901001</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Р</w:t>
            </w:r>
            <w:proofErr w:type="gramEnd"/>
            <w:r w:rsidRPr="00605FF8">
              <w:rPr>
                <w:rFonts w:ascii="Times New Roman" w:eastAsia="Times New Roman" w:hAnsi="Times New Roman" w:cs="Times New Roman"/>
                <w:sz w:val="24"/>
                <w:szCs w:val="24"/>
                <w:lang w:eastAsia="ru-RU"/>
              </w:rPr>
              <w:t>/с 40302810000005000001</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РКЦ Адамовка п. Адамовка</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БИК 045366000</w:t>
            </w: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ОКТМО 53604000</w:t>
            </w:r>
          </w:p>
        </w:tc>
        <w:tc>
          <w:tcPr>
            <w:tcW w:w="4920" w:type="dxa"/>
            <w:gridSpan w:val="2"/>
          </w:tcPr>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Государственное унитарное предприятие Оренбургской области «Оренбургремдорстрой»</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460021, г. Оренбург, ул. 60 лет Октября, 1/1</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ИНН 5610080648</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КПП 561350001</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proofErr w:type="gramStart"/>
            <w:r w:rsidRPr="00605FF8">
              <w:rPr>
                <w:rFonts w:ascii="Times New Roman" w:eastAsia="Times New Roman" w:hAnsi="Times New Roman" w:cs="Times New Roman"/>
                <w:sz w:val="24"/>
                <w:szCs w:val="24"/>
              </w:rPr>
              <w:t>Р</w:t>
            </w:r>
            <w:proofErr w:type="gramEnd"/>
            <w:r w:rsidRPr="00605FF8">
              <w:rPr>
                <w:rFonts w:ascii="Times New Roman" w:eastAsia="Times New Roman" w:hAnsi="Times New Roman" w:cs="Times New Roman"/>
                <w:sz w:val="24"/>
                <w:szCs w:val="24"/>
              </w:rPr>
              <w:t>/с 40602810700610003450</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Нижегородский филиал ОАО «Банк Москвы» г. Нижний Новгород</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БИК 042282832</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К/с 30101810100000000832</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ОГРН 1045605456401</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Тел.: 8 (3532) 70-21-25</w:t>
            </w:r>
          </w:p>
          <w:p w:rsidR="00605FF8" w:rsidRPr="00605FF8" w:rsidRDefault="00605FF8" w:rsidP="00605FF8">
            <w:pPr>
              <w:suppressAutoHyphens/>
              <w:spacing w:after="0" w:line="240" w:lineRule="auto"/>
              <w:ind w:left="72"/>
              <w:rPr>
                <w:rFonts w:ascii="Times New Roman" w:eastAsia="Times New Roman" w:hAnsi="Times New Roman" w:cs="Times New Roman"/>
                <w:sz w:val="24"/>
                <w:szCs w:val="24"/>
              </w:rPr>
            </w:pPr>
            <w:r w:rsidRPr="00605FF8">
              <w:rPr>
                <w:rFonts w:ascii="Times New Roman" w:eastAsia="Times New Roman" w:hAnsi="Times New Roman" w:cs="Times New Roman"/>
                <w:sz w:val="24"/>
                <w:szCs w:val="24"/>
              </w:rPr>
              <w:t>Факс: 8 (3532) 70-28-46, 70-31-73</w:t>
            </w:r>
          </w:p>
        </w:tc>
      </w:tr>
      <w:tr w:rsidR="00605FF8" w:rsidRPr="00605FF8" w:rsidTr="008966B0">
        <w:tblPrEx>
          <w:jc w:val="left"/>
          <w:tblLook w:val="0000" w:firstRow="0" w:lastRow="0" w:firstColumn="0" w:lastColumn="0" w:noHBand="0" w:noVBand="0"/>
        </w:tblPrEx>
        <w:trPr>
          <w:gridBefore w:val="1"/>
          <w:wBefore w:w="108" w:type="dxa"/>
        </w:trPr>
        <w:tc>
          <w:tcPr>
            <w:tcW w:w="5280" w:type="dxa"/>
            <w:gridSpan w:val="2"/>
            <w:vAlign w:val="bottom"/>
          </w:tcPr>
          <w:p w:rsidR="00605FF8" w:rsidRPr="00605FF8" w:rsidRDefault="00605FF8" w:rsidP="00605FF8">
            <w:pPr>
              <w:spacing w:after="0" w:line="240" w:lineRule="auto"/>
              <w:rPr>
                <w:rFonts w:ascii="Times New Roman" w:eastAsia="Times New Roman" w:hAnsi="Times New Roman" w:cs="Times New Roman"/>
                <w:sz w:val="24"/>
                <w:szCs w:val="24"/>
                <w:lang w:eastAsia="ru-RU"/>
              </w:rPr>
            </w:pPr>
          </w:p>
          <w:p w:rsidR="00605FF8" w:rsidRPr="00605FF8" w:rsidRDefault="00605FF8" w:rsidP="00605FF8">
            <w:pPr>
              <w:spacing w:after="0" w:line="240" w:lineRule="auto"/>
              <w:rPr>
                <w:rFonts w:ascii="Times New Roman" w:eastAsia="Times New Roman" w:hAnsi="Times New Roman" w:cs="Times New Roman"/>
                <w:sz w:val="24"/>
                <w:szCs w:val="24"/>
                <w:lang w:eastAsia="ru-RU"/>
              </w:rPr>
            </w:pPr>
          </w:p>
          <w:p w:rsidR="00605FF8" w:rsidRPr="00605FF8" w:rsidRDefault="00605FF8" w:rsidP="00605FF8">
            <w:pPr>
              <w:spacing w:after="0" w:line="240" w:lineRule="auto"/>
              <w:rPr>
                <w:rFonts w:ascii="Times New Roman" w:eastAsia="Times New Roman" w:hAnsi="Times New Roman" w:cs="Times New Roman"/>
                <w:sz w:val="24"/>
                <w:szCs w:val="24"/>
                <w:lang w:eastAsia="ru-RU"/>
              </w:rPr>
            </w:pPr>
          </w:p>
          <w:p w:rsidR="00605FF8" w:rsidRPr="00605FF8" w:rsidRDefault="00605FF8" w:rsidP="00605FF8">
            <w:pPr>
              <w:spacing w:after="0" w:line="240" w:lineRule="auto"/>
              <w:rPr>
                <w:rFonts w:ascii="Times New Roman" w:eastAsia="Times New Roman" w:hAnsi="Times New Roman" w:cs="Times New Roman"/>
                <w:sz w:val="24"/>
                <w:szCs w:val="24"/>
                <w:lang w:eastAsia="ru-RU"/>
              </w:rPr>
            </w:pPr>
          </w:p>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lang w:eastAsia="ru-RU"/>
              </w:rPr>
              <w:t>__________________ А.А. Лушкин</w:t>
            </w:r>
          </w:p>
        </w:tc>
        <w:tc>
          <w:tcPr>
            <w:tcW w:w="4920" w:type="dxa"/>
            <w:gridSpan w:val="2"/>
            <w:vAlign w:val="bottom"/>
          </w:tcPr>
          <w:p w:rsidR="00605FF8" w:rsidRPr="00605FF8" w:rsidRDefault="00605FF8" w:rsidP="00605FF8">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lang w:eastAsia="ru-RU"/>
              </w:rPr>
              <w:t xml:space="preserve">     _________________</w:t>
            </w:r>
            <w:r>
              <w:rPr>
                <w:rFonts w:ascii="Times New Roman" w:eastAsia="Times New Roman" w:hAnsi="Times New Roman" w:cs="Times New Roman"/>
                <w:lang w:eastAsia="ru-RU"/>
              </w:rPr>
              <w:t>М.И. Вдовин</w:t>
            </w:r>
          </w:p>
        </w:tc>
      </w:tr>
    </w:tbl>
    <w:p w:rsidR="00605FF8" w:rsidRPr="00605FF8" w:rsidRDefault="00605FF8" w:rsidP="00605FF8">
      <w:pPr>
        <w:pageBreakBefore/>
        <w:spacing w:after="0" w:line="240" w:lineRule="auto"/>
        <w:jc w:val="right"/>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lastRenderedPageBreak/>
        <w:t>Приложение № 1</w:t>
      </w:r>
    </w:p>
    <w:p w:rsidR="00605FF8" w:rsidRPr="00605FF8" w:rsidRDefault="00605FF8" w:rsidP="00605FF8">
      <w:pPr>
        <w:spacing w:after="0" w:line="240" w:lineRule="auto"/>
        <w:jc w:val="right"/>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к муниципальному контракту</w:t>
      </w:r>
    </w:p>
    <w:p w:rsidR="00605FF8" w:rsidRPr="00605FF8" w:rsidRDefault="00605FF8" w:rsidP="00605FF8">
      <w:pPr>
        <w:spacing w:after="0" w:line="240" w:lineRule="auto"/>
        <w:jc w:val="right"/>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от «____»__________2014 г. № 168-2/14</w:t>
      </w:r>
    </w:p>
    <w:p w:rsidR="00605FF8" w:rsidRPr="00605FF8" w:rsidRDefault="00605FF8" w:rsidP="00605FF8">
      <w:pPr>
        <w:spacing w:after="0" w:line="240" w:lineRule="auto"/>
        <w:jc w:val="right"/>
        <w:rPr>
          <w:rFonts w:ascii="Times New Roman" w:eastAsia="Times New Roman" w:hAnsi="Times New Roman" w:cs="Times New Roman"/>
          <w:sz w:val="24"/>
          <w:szCs w:val="24"/>
          <w:lang w:eastAsia="ru-RU"/>
        </w:rPr>
      </w:pPr>
    </w:p>
    <w:p w:rsidR="00605FF8" w:rsidRPr="00605FF8" w:rsidRDefault="00605FF8" w:rsidP="00605FF8">
      <w:pPr>
        <w:widowControl w:val="0"/>
        <w:spacing w:after="0" w:line="240" w:lineRule="auto"/>
        <w:jc w:val="center"/>
        <w:outlineLvl w:val="3"/>
        <w:rPr>
          <w:rFonts w:ascii="Times New Roman" w:eastAsia="Times New Roman" w:hAnsi="Times New Roman" w:cs="Times New Roman"/>
          <w:b/>
          <w:caps/>
          <w:sz w:val="24"/>
          <w:szCs w:val="24"/>
          <w:lang w:eastAsia="ru-RU"/>
        </w:rPr>
      </w:pPr>
      <w:r w:rsidRPr="00605FF8">
        <w:rPr>
          <w:rFonts w:ascii="Times New Roman" w:eastAsia="Times New Roman" w:hAnsi="Times New Roman" w:cs="Times New Roman"/>
          <w:b/>
          <w:caps/>
          <w:sz w:val="24"/>
          <w:szCs w:val="24"/>
          <w:lang w:eastAsia="ru-RU"/>
        </w:rPr>
        <w:t>Техническое задание</w:t>
      </w:r>
    </w:p>
    <w:p w:rsidR="00605FF8" w:rsidRPr="00605FF8" w:rsidRDefault="00605FF8" w:rsidP="00605FF8">
      <w:pPr>
        <w:keepNext/>
        <w:spacing w:after="0" w:line="240" w:lineRule="auto"/>
        <w:jc w:val="center"/>
        <w:rPr>
          <w:rFonts w:ascii="Times New Roman" w:eastAsia="Times New Roman" w:hAnsi="Times New Roman" w:cs="Times New Roman"/>
          <w:b/>
          <w:caps/>
          <w:sz w:val="26"/>
          <w:szCs w:val="26"/>
          <w:lang w:eastAsia="ru-RU"/>
        </w:rPr>
      </w:pPr>
    </w:p>
    <w:p w:rsidR="00605FF8" w:rsidRPr="00605FF8" w:rsidRDefault="00605FF8" w:rsidP="00605FF8">
      <w:pPr>
        <w:tabs>
          <w:tab w:val="left" w:pos="3260"/>
        </w:tabs>
        <w:spacing w:after="0" w:line="240" w:lineRule="auto"/>
        <w:jc w:val="center"/>
        <w:rPr>
          <w:rFonts w:ascii="Times New Roman" w:eastAsia="Times New Roman" w:hAnsi="Times New Roman" w:cs="Times New Roman"/>
          <w:b/>
          <w:sz w:val="24"/>
          <w:szCs w:val="24"/>
          <w:lang w:eastAsia="ru-RU"/>
        </w:rPr>
      </w:pPr>
      <w:r w:rsidRPr="00605FF8">
        <w:rPr>
          <w:rFonts w:ascii="Times New Roman" w:eastAsia="Times New Roman" w:hAnsi="Times New Roman" w:cs="Times New Roman"/>
          <w:b/>
          <w:sz w:val="24"/>
          <w:szCs w:val="24"/>
          <w:lang w:eastAsia="ru-RU"/>
        </w:rPr>
        <w:t>Описание объекта закупки</w:t>
      </w:r>
    </w:p>
    <w:p w:rsidR="00605FF8" w:rsidRPr="00605FF8" w:rsidRDefault="00605FF8" w:rsidP="00605FF8">
      <w:pPr>
        <w:tabs>
          <w:tab w:val="left" w:pos="3260"/>
        </w:tabs>
        <w:spacing w:after="0" w:line="240" w:lineRule="auto"/>
        <w:jc w:val="center"/>
        <w:rPr>
          <w:rFonts w:ascii="Times New Roman" w:eastAsia="Times New Roman" w:hAnsi="Times New Roman" w:cs="Times New Roman"/>
          <w:sz w:val="24"/>
          <w:szCs w:val="24"/>
          <w:lang w:eastAsia="ru-RU"/>
        </w:rPr>
      </w:pPr>
    </w:p>
    <w:tbl>
      <w:tblPr>
        <w:tblW w:w="9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6"/>
        <w:gridCol w:w="2516"/>
        <w:gridCol w:w="1937"/>
        <w:gridCol w:w="1417"/>
        <w:gridCol w:w="1332"/>
      </w:tblGrid>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w:t>
            </w:r>
          </w:p>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roofErr w:type="gramStart"/>
            <w:r w:rsidRPr="00605FF8">
              <w:rPr>
                <w:rFonts w:ascii="Times New Roman" w:eastAsia="Times New Roman" w:hAnsi="Times New Roman" w:cs="Times New Roman"/>
                <w:sz w:val="24"/>
                <w:szCs w:val="24"/>
                <w:lang w:eastAsia="ru-RU"/>
              </w:rPr>
              <w:t>п</w:t>
            </w:r>
            <w:proofErr w:type="gramEnd"/>
            <w:r w:rsidRPr="00605FF8">
              <w:rPr>
                <w:rFonts w:ascii="Times New Roman" w:eastAsia="Times New Roman" w:hAnsi="Times New Roman" w:cs="Times New Roman"/>
                <w:sz w:val="24"/>
                <w:szCs w:val="24"/>
                <w:lang w:eastAsia="ru-RU"/>
              </w:rPr>
              <w:t>/п</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Наименование</w:t>
            </w:r>
          </w:p>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закупаемой продукции</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характеристики</w:t>
            </w:r>
          </w:p>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закупаемой продукции </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Ед. измерения</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Количество</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Начальная цена контракта</w:t>
            </w:r>
          </w:p>
        </w:tc>
      </w:tr>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b/>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 Ремонт автомобильных дорог общего пользования  в п. Обильный Адамовского района Оренбургской области (ул. Набережная)</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r>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b/>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Раздел</w:t>
            </w:r>
          </w:p>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roofErr w:type="spellStart"/>
            <w:r w:rsidRPr="00605FF8">
              <w:rPr>
                <w:rFonts w:ascii="Times New Roman" w:eastAsia="Times New Roman" w:hAnsi="Times New Roman" w:cs="Times New Roman"/>
                <w:sz w:val="24"/>
                <w:szCs w:val="24"/>
                <w:lang w:eastAsia="ru-RU"/>
              </w:rPr>
              <w:t>Ул</w:t>
            </w:r>
            <w:proofErr w:type="gramStart"/>
            <w:r w:rsidRPr="00605FF8">
              <w:rPr>
                <w:rFonts w:ascii="Times New Roman" w:eastAsia="Times New Roman" w:hAnsi="Times New Roman" w:cs="Times New Roman"/>
                <w:sz w:val="24"/>
                <w:szCs w:val="24"/>
                <w:lang w:eastAsia="ru-RU"/>
              </w:rPr>
              <w:t>.Н</w:t>
            </w:r>
            <w:proofErr w:type="gramEnd"/>
            <w:r w:rsidRPr="00605FF8">
              <w:rPr>
                <w:rFonts w:ascii="Times New Roman" w:eastAsia="Times New Roman" w:hAnsi="Times New Roman" w:cs="Times New Roman"/>
                <w:sz w:val="24"/>
                <w:szCs w:val="24"/>
                <w:lang w:eastAsia="ru-RU"/>
              </w:rPr>
              <w:t>абережная</w:t>
            </w:r>
            <w:proofErr w:type="spellEnd"/>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r>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1.</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Планировка откосов и полотна </w:t>
            </w:r>
            <w:proofErr w:type="spellStart"/>
            <w:r w:rsidRPr="00605FF8">
              <w:rPr>
                <w:rFonts w:ascii="Times New Roman" w:eastAsia="Times New Roman" w:hAnsi="Times New Roman" w:cs="Times New Roman"/>
                <w:sz w:val="24"/>
                <w:szCs w:val="24"/>
                <w:lang w:eastAsia="ru-RU"/>
              </w:rPr>
              <w:t>насыпейплощадей</w:t>
            </w:r>
            <w:proofErr w:type="spellEnd"/>
            <w:r w:rsidRPr="00605FF8">
              <w:rPr>
                <w:rFonts w:ascii="Times New Roman" w:eastAsia="Times New Roman" w:hAnsi="Times New Roman" w:cs="Times New Roman"/>
                <w:sz w:val="24"/>
                <w:szCs w:val="24"/>
                <w:lang w:eastAsia="ru-RU"/>
              </w:rPr>
              <w:t xml:space="preserve"> механизированным способом, группа грунтов 2</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1000м2 спланированной площади</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2,541</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r>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 xml:space="preserve">Устройство оснований и покрытий из песчано-гравийных или щебеночно-песчаных смесей серповидного профиля покрытия при толщине дороги по оси до 12см.  </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1000м2 основания или покрытия</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2,541</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r>
      <w:tr w:rsidR="00605FF8" w:rsidRPr="00605FF8" w:rsidTr="008966B0">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3.</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Готовые  песчано-щебеночные смеси марка: 1000. Размер зерен 20-1-мм. Сорт 5</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м3</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r w:rsidRPr="00605FF8">
              <w:rPr>
                <w:rFonts w:ascii="Times New Roman" w:eastAsia="Times New Roman" w:hAnsi="Times New Roman" w:cs="Times New Roman"/>
                <w:sz w:val="24"/>
                <w:szCs w:val="24"/>
                <w:lang w:eastAsia="ru-RU"/>
              </w:rPr>
              <w:t>279,51</w:t>
            </w:r>
          </w:p>
        </w:tc>
        <w:tc>
          <w:tcPr>
            <w:tcW w:w="0" w:type="auto"/>
          </w:tcPr>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bookmarkStart w:id="0" w:name="_GoBack"/>
            <w:bookmarkEnd w:id="0"/>
          </w:p>
        </w:tc>
      </w:tr>
    </w:tbl>
    <w:p w:rsidR="00605FF8" w:rsidRPr="00605FF8" w:rsidRDefault="00605FF8" w:rsidP="00605FF8">
      <w:pPr>
        <w:tabs>
          <w:tab w:val="left" w:pos="3260"/>
        </w:tabs>
        <w:spacing w:after="0" w:line="240" w:lineRule="auto"/>
        <w:jc w:val="both"/>
        <w:rPr>
          <w:rFonts w:ascii="Times New Roman" w:eastAsia="Times New Roman" w:hAnsi="Times New Roman" w:cs="Times New Roman"/>
          <w:sz w:val="24"/>
          <w:szCs w:val="24"/>
          <w:lang w:eastAsia="ru-RU"/>
        </w:rPr>
      </w:pPr>
    </w:p>
    <w:tbl>
      <w:tblPr>
        <w:tblW w:w="10308" w:type="dxa"/>
        <w:tblLook w:val="0000" w:firstRow="0" w:lastRow="0" w:firstColumn="0" w:lastColumn="0" w:noHBand="0" w:noVBand="0"/>
      </w:tblPr>
      <w:tblGrid>
        <w:gridCol w:w="108"/>
        <w:gridCol w:w="5228"/>
        <w:gridCol w:w="52"/>
        <w:gridCol w:w="4920"/>
      </w:tblGrid>
      <w:tr w:rsidR="00605FF8" w:rsidRPr="00605FF8" w:rsidTr="008966B0">
        <w:trPr>
          <w:gridBefore w:val="1"/>
          <w:wBefore w:w="108" w:type="dxa"/>
        </w:trPr>
        <w:tc>
          <w:tcPr>
            <w:tcW w:w="5280" w:type="dxa"/>
            <w:gridSpan w:val="2"/>
            <w:vAlign w:val="bottom"/>
          </w:tcPr>
          <w:p w:rsidR="00605FF8" w:rsidRPr="00605FF8" w:rsidRDefault="00605FF8" w:rsidP="008966B0">
            <w:pPr>
              <w:spacing w:after="0" w:line="240" w:lineRule="auto"/>
              <w:rPr>
                <w:rFonts w:ascii="Times New Roman" w:eastAsia="Times New Roman" w:hAnsi="Times New Roman" w:cs="Times New Roman"/>
                <w:sz w:val="24"/>
                <w:szCs w:val="24"/>
                <w:lang w:eastAsia="ru-RU"/>
              </w:rPr>
            </w:pPr>
          </w:p>
          <w:p w:rsidR="00605FF8" w:rsidRPr="00605FF8" w:rsidRDefault="00605FF8" w:rsidP="008966B0">
            <w:pPr>
              <w:spacing w:after="0" w:line="240" w:lineRule="auto"/>
              <w:rPr>
                <w:rFonts w:ascii="Times New Roman" w:eastAsia="Times New Roman" w:hAnsi="Times New Roman" w:cs="Times New Roman"/>
                <w:sz w:val="24"/>
                <w:szCs w:val="24"/>
                <w:lang w:eastAsia="ru-RU"/>
              </w:rPr>
            </w:pPr>
          </w:p>
          <w:p w:rsidR="00605FF8" w:rsidRPr="00605FF8" w:rsidRDefault="00605FF8" w:rsidP="008966B0">
            <w:pPr>
              <w:spacing w:after="0" w:line="240" w:lineRule="auto"/>
              <w:rPr>
                <w:rFonts w:ascii="Times New Roman" w:eastAsia="Times New Roman" w:hAnsi="Times New Roman" w:cs="Times New Roman"/>
                <w:sz w:val="24"/>
                <w:szCs w:val="24"/>
                <w:lang w:eastAsia="ru-RU"/>
              </w:rPr>
            </w:pPr>
          </w:p>
          <w:p w:rsidR="00605FF8" w:rsidRPr="00605FF8" w:rsidRDefault="00605FF8" w:rsidP="008966B0">
            <w:pPr>
              <w:spacing w:after="0" w:line="240" w:lineRule="auto"/>
              <w:rPr>
                <w:rFonts w:ascii="Times New Roman" w:eastAsia="Times New Roman" w:hAnsi="Times New Roman" w:cs="Times New Roman"/>
                <w:sz w:val="24"/>
                <w:szCs w:val="24"/>
                <w:lang w:eastAsia="ru-RU"/>
              </w:rPr>
            </w:pPr>
          </w:p>
          <w:p w:rsidR="00605FF8" w:rsidRPr="00605FF8" w:rsidRDefault="00605FF8" w:rsidP="008966B0">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lang w:eastAsia="ru-RU"/>
              </w:rPr>
              <w:t>__________________ А.А. Лушкин</w:t>
            </w:r>
          </w:p>
        </w:tc>
        <w:tc>
          <w:tcPr>
            <w:tcW w:w="4920" w:type="dxa"/>
            <w:vAlign w:val="bottom"/>
          </w:tcPr>
          <w:p w:rsidR="00605FF8" w:rsidRPr="00605FF8" w:rsidRDefault="00605FF8" w:rsidP="008966B0">
            <w:pPr>
              <w:spacing w:after="0" w:line="240" w:lineRule="auto"/>
              <w:rPr>
                <w:rFonts w:ascii="Times New Roman" w:eastAsia="Times New Roman" w:hAnsi="Times New Roman" w:cs="Times New Roman"/>
                <w:sz w:val="24"/>
                <w:szCs w:val="24"/>
                <w:lang w:eastAsia="ru-RU"/>
              </w:rPr>
            </w:pPr>
            <w:r w:rsidRPr="00605FF8">
              <w:rPr>
                <w:rFonts w:ascii="Times New Roman" w:eastAsia="Times New Roman" w:hAnsi="Times New Roman" w:cs="Times New Roman"/>
                <w:lang w:eastAsia="ru-RU"/>
              </w:rPr>
              <w:t xml:space="preserve">     _________________</w:t>
            </w:r>
            <w:r>
              <w:rPr>
                <w:rFonts w:ascii="Times New Roman" w:eastAsia="Times New Roman" w:hAnsi="Times New Roman" w:cs="Times New Roman"/>
                <w:lang w:eastAsia="ru-RU"/>
              </w:rPr>
              <w:t>М.И. Вдовин</w:t>
            </w:r>
          </w:p>
        </w:tc>
      </w:tr>
      <w:tr w:rsidR="00605FF8" w:rsidRPr="00605FF8" w:rsidTr="008966B0">
        <w:tc>
          <w:tcPr>
            <w:tcW w:w="5336" w:type="dxa"/>
            <w:gridSpan w:val="2"/>
            <w:vAlign w:val="bottom"/>
          </w:tcPr>
          <w:p w:rsidR="00605FF8" w:rsidRPr="00605FF8" w:rsidRDefault="00605FF8" w:rsidP="00605FF8">
            <w:pPr>
              <w:spacing w:after="0" w:line="240" w:lineRule="auto"/>
              <w:rPr>
                <w:rFonts w:ascii="Times New Roman" w:eastAsia="Times New Roman" w:hAnsi="Times New Roman" w:cs="Times New Roman"/>
                <w:sz w:val="24"/>
                <w:szCs w:val="24"/>
                <w:lang w:eastAsia="ru-RU"/>
              </w:rPr>
            </w:pPr>
          </w:p>
        </w:tc>
        <w:tc>
          <w:tcPr>
            <w:tcW w:w="4972" w:type="dxa"/>
            <w:gridSpan w:val="2"/>
            <w:vAlign w:val="bottom"/>
          </w:tcPr>
          <w:p w:rsidR="00605FF8" w:rsidRPr="00605FF8" w:rsidRDefault="00605FF8" w:rsidP="00605FF8">
            <w:pPr>
              <w:spacing w:after="0" w:line="240" w:lineRule="auto"/>
              <w:rPr>
                <w:rFonts w:ascii="Times New Roman" w:eastAsia="Times New Roman" w:hAnsi="Times New Roman" w:cs="Times New Roman"/>
                <w:sz w:val="24"/>
                <w:szCs w:val="24"/>
                <w:lang w:eastAsia="ru-RU"/>
              </w:rPr>
            </w:pPr>
          </w:p>
        </w:tc>
      </w:tr>
    </w:tbl>
    <w:p w:rsidR="00866F05" w:rsidRDefault="00866F05"/>
    <w:sectPr w:rsidR="0086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F8"/>
    <w:rsid w:val="00605FF8"/>
    <w:rsid w:val="0086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АА</dc:creator>
  <cp:lastModifiedBy>Козлов АА</cp:lastModifiedBy>
  <cp:revision>1</cp:revision>
  <dcterms:created xsi:type="dcterms:W3CDTF">2014-11-08T04:48:00Z</dcterms:created>
  <dcterms:modified xsi:type="dcterms:W3CDTF">2014-11-08T04:54:00Z</dcterms:modified>
</cp:coreProperties>
</file>