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C2" w:rsidRDefault="001276C2" w:rsidP="002B38B8">
      <w:pPr>
        <w:pStyle w:val="Standard"/>
        <w:jc w:val="center"/>
        <w:rPr>
          <w:rFonts w:cs="Times New Roman"/>
          <w:b/>
          <w:bCs/>
          <w:noProof/>
          <w:sz w:val="28"/>
          <w:szCs w:val="28"/>
          <w:lang w:val="ru-RU" w:eastAsia="ru-RU" w:bidi="ar-SA"/>
        </w:rPr>
      </w:pPr>
    </w:p>
    <w:p w:rsidR="001276C2" w:rsidRDefault="001276C2" w:rsidP="002B38B8">
      <w:pPr>
        <w:pStyle w:val="Standard"/>
        <w:jc w:val="center"/>
        <w:rPr>
          <w:rFonts w:cs="Times New Roman"/>
          <w:b/>
          <w:bCs/>
          <w:noProof/>
          <w:sz w:val="28"/>
          <w:szCs w:val="28"/>
          <w:lang w:val="ru-RU" w:eastAsia="ru-RU" w:bidi="ar-SA"/>
        </w:rPr>
      </w:pPr>
    </w:p>
    <w:p w:rsidR="00975854" w:rsidRPr="002B38B8" w:rsidRDefault="007018E1" w:rsidP="002B38B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018E1"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-177165</wp:posOffset>
            </wp:positionV>
            <wp:extent cx="624840" cy="771525"/>
            <wp:effectExtent l="19050" t="0" r="381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8E1" w:rsidRDefault="007018E1" w:rsidP="002B38B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018E1" w:rsidRDefault="007018E1" w:rsidP="002B38B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75854" w:rsidRPr="002B38B8" w:rsidRDefault="00975854" w:rsidP="002B38B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2B38B8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975854" w:rsidRPr="002B38B8" w:rsidRDefault="007018E1" w:rsidP="002B38B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ТВЕРДОХЛЕБОВСКОГО</w:t>
      </w:r>
      <w:r w:rsidR="002B38B8" w:rsidRPr="002B38B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975854" w:rsidRPr="002B38B8">
        <w:rPr>
          <w:rFonts w:cs="Times New Roman"/>
          <w:b/>
          <w:bCs/>
          <w:sz w:val="28"/>
          <w:szCs w:val="28"/>
        </w:rPr>
        <w:t>СЕЛЬСКОГО ПОСЕЛЕНИЯ</w:t>
      </w:r>
    </w:p>
    <w:p w:rsidR="00975854" w:rsidRPr="002B38B8" w:rsidRDefault="00975854" w:rsidP="002B38B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2B38B8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975854" w:rsidRPr="002B38B8" w:rsidRDefault="00975854" w:rsidP="002B38B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2B38B8">
        <w:rPr>
          <w:rFonts w:cs="Times New Roman"/>
          <w:b/>
          <w:bCs/>
          <w:sz w:val="28"/>
          <w:szCs w:val="28"/>
        </w:rPr>
        <w:t>ВОРОНЕЖСКОЙ ОБЛАСТИ</w:t>
      </w:r>
    </w:p>
    <w:p w:rsidR="00975854" w:rsidRPr="002B38B8" w:rsidRDefault="00975854" w:rsidP="002B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5854" w:rsidRPr="002B38B8" w:rsidRDefault="00975854" w:rsidP="002B38B8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975854" w:rsidRPr="002B38B8" w:rsidRDefault="00975854" w:rsidP="002B38B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B38B8">
        <w:rPr>
          <w:rFonts w:cs="Times New Roman"/>
          <w:bCs/>
          <w:sz w:val="28"/>
          <w:szCs w:val="28"/>
          <w:lang w:val="ru-RU"/>
        </w:rPr>
        <w:t>о</w:t>
      </w:r>
      <w:r w:rsidRPr="002B38B8">
        <w:rPr>
          <w:rFonts w:cs="Times New Roman"/>
          <w:bCs/>
          <w:sz w:val="28"/>
          <w:szCs w:val="28"/>
        </w:rPr>
        <w:t>т</w:t>
      </w:r>
      <w:r w:rsidRPr="002B38B8">
        <w:rPr>
          <w:rFonts w:cs="Times New Roman"/>
          <w:bCs/>
          <w:sz w:val="28"/>
          <w:szCs w:val="28"/>
          <w:lang w:val="ru-RU"/>
        </w:rPr>
        <w:t xml:space="preserve"> </w:t>
      </w:r>
      <w:r w:rsidRPr="002B38B8">
        <w:rPr>
          <w:rFonts w:cs="Times New Roman"/>
          <w:bCs/>
          <w:sz w:val="28"/>
          <w:szCs w:val="28"/>
        </w:rPr>
        <w:t xml:space="preserve"> «</w:t>
      </w:r>
      <w:r w:rsidR="001276C2">
        <w:rPr>
          <w:rFonts w:cs="Times New Roman"/>
          <w:bCs/>
          <w:sz w:val="28"/>
          <w:szCs w:val="28"/>
          <w:lang w:val="ru-RU"/>
        </w:rPr>
        <w:t xml:space="preserve"> 19</w:t>
      </w:r>
      <w:r w:rsidR="00EE0962" w:rsidRPr="002B38B8">
        <w:rPr>
          <w:rFonts w:cs="Times New Roman"/>
          <w:bCs/>
          <w:sz w:val="28"/>
          <w:szCs w:val="28"/>
          <w:lang w:val="ru-RU"/>
        </w:rPr>
        <w:t xml:space="preserve">  </w:t>
      </w:r>
      <w:r w:rsidRPr="002B38B8">
        <w:rPr>
          <w:rFonts w:cs="Times New Roman"/>
          <w:bCs/>
          <w:sz w:val="28"/>
          <w:szCs w:val="28"/>
        </w:rPr>
        <w:t>»</w:t>
      </w:r>
      <w:r w:rsidRPr="002B38B8">
        <w:rPr>
          <w:rFonts w:cs="Times New Roman"/>
          <w:bCs/>
          <w:sz w:val="28"/>
          <w:szCs w:val="28"/>
          <w:lang w:val="ru-RU"/>
        </w:rPr>
        <w:t xml:space="preserve"> </w:t>
      </w:r>
      <w:r w:rsidR="001276C2">
        <w:rPr>
          <w:rFonts w:cs="Times New Roman"/>
          <w:bCs/>
          <w:sz w:val="28"/>
          <w:szCs w:val="28"/>
          <w:lang w:val="ru-RU"/>
        </w:rPr>
        <w:t>мая</w:t>
      </w:r>
      <w:r w:rsidR="00EE0962" w:rsidRPr="002B38B8">
        <w:rPr>
          <w:rFonts w:cs="Times New Roman"/>
          <w:bCs/>
          <w:sz w:val="28"/>
          <w:szCs w:val="28"/>
          <w:lang w:val="ru-RU"/>
        </w:rPr>
        <w:t xml:space="preserve"> </w:t>
      </w:r>
      <w:r w:rsidRPr="002B38B8">
        <w:rPr>
          <w:rFonts w:cs="Times New Roman"/>
          <w:bCs/>
          <w:sz w:val="28"/>
          <w:szCs w:val="28"/>
          <w:lang w:val="ru-RU"/>
        </w:rPr>
        <w:t xml:space="preserve"> </w:t>
      </w:r>
      <w:r w:rsidRPr="002B38B8">
        <w:rPr>
          <w:rFonts w:cs="Times New Roman"/>
          <w:bCs/>
          <w:sz w:val="28"/>
          <w:szCs w:val="28"/>
        </w:rPr>
        <w:t>20</w:t>
      </w:r>
      <w:r w:rsidR="00374A20" w:rsidRPr="002B38B8">
        <w:rPr>
          <w:rFonts w:cs="Times New Roman"/>
          <w:bCs/>
          <w:sz w:val="28"/>
          <w:szCs w:val="28"/>
          <w:lang w:val="ru-RU"/>
        </w:rPr>
        <w:t>21</w:t>
      </w:r>
      <w:r w:rsidRPr="002B38B8">
        <w:rPr>
          <w:rFonts w:cs="Times New Roman"/>
          <w:bCs/>
          <w:sz w:val="28"/>
          <w:szCs w:val="28"/>
        </w:rPr>
        <w:t xml:space="preserve"> г</w:t>
      </w:r>
      <w:r w:rsidRPr="002B38B8">
        <w:rPr>
          <w:rFonts w:cs="Times New Roman"/>
          <w:bCs/>
          <w:sz w:val="28"/>
          <w:szCs w:val="28"/>
          <w:lang w:val="ru-RU"/>
        </w:rPr>
        <w:t>.</w:t>
      </w:r>
      <w:r w:rsidRPr="002B38B8">
        <w:rPr>
          <w:rFonts w:cs="Times New Roman"/>
          <w:bCs/>
          <w:sz w:val="28"/>
          <w:szCs w:val="28"/>
        </w:rPr>
        <w:t xml:space="preserve"> № </w:t>
      </w:r>
      <w:r w:rsidRPr="002B38B8">
        <w:rPr>
          <w:rFonts w:cs="Times New Roman"/>
          <w:bCs/>
          <w:sz w:val="28"/>
          <w:szCs w:val="28"/>
          <w:lang w:val="ru-RU"/>
        </w:rPr>
        <w:t xml:space="preserve"> </w:t>
      </w:r>
      <w:r w:rsidR="001276C2">
        <w:rPr>
          <w:rFonts w:cs="Times New Roman"/>
          <w:bCs/>
          <w:sz w:val="28"/>
          <w:szCs w:val="28"/>
          <w:lang w:val="ru-RU"/>
        </w:rPr>
        <w:t>58</w:t>
      </w:r>
    </w:p>
    <w:p w:rsidR="00975854" w:rsidRPr="002B38B8" w:rsidRDefault="00975854" w:rsidP="002B38B8">
      <w:pPr>
        <w:pStyle w:val="Standard"/>
        <w:jc w:val="both"/>
        <w:rPr>
          <w:rFonts w:cs="Times New Roman"/>
          <w:sz w:val="28"/>
          <w:szCs w:val="28"/>
        </w:rPr>
      </w:pPr>
      <w:r w:rsidRPr="002B38B8">
        <w:rPr>
          <w:rFonts w:cs="Times New Roman"/>
          <w:bCs/>
          <w:sz w:val="28"/>
          <w:szCs w:val="28"/>
          <w:lang w:val="ru-RU"/>
        </w:rPr>
        <w:t xml:space="preserve">с. </w:t>
      </w:r>
      <w:proofErr w:type="spellStart"/>
      <w:r w:rsidR="007018E1">
        <w:rPr>
          <w:rFonts w:cs="Times New Roman"/>
          <w:bCs/>
          <w:sz w:val="28"/>
          <w:szCs w:val="28"/>
          <w:lang w:val="ru-RU"/>
        </w:rPr>
        <w:t>Твердохлебовка</w:t>
      </w:r>
      <w:proofErr w:type="spellEnd"/>
    </w:p>
    <w:p w:rsidR="00975854" w:rsidRPr="002B38B8" w:rsidRDefault="00975854" w:rsidP="002B38B8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502BBB" w:rsidRPr="002B38B8" w:rsidRDefault="00502BBB" w:rsidP="00502BBB">
      <w:pPr>
        <w:spacing w:after="0" w:line="240" w:lineRule="auto"/>
        <w:ind w:right="467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38B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плана дорожных  работ по ремонту автомобильных дорог общего пользования местного значения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Твердохлебовского</w:t>
      </w:r>
      <w:proofErr w:type="spellEnd"/>
      <w:r w:rsidRPr="002B38B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Богучарского муниципального района Воронежской области на 2021 год</w:t>
      </w:r>
    </w:p>
    <w:p w:rsidR="00502BBB" w:rsidRPr="002B38B8" w:rsidRDefault="00502BBB" w:rsidP="00502B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02BBB" w:rsidRPr="002B38B8" w:rsidRDefault="00502BBB" w:rsidP="00502BB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proofErr w:type="gramStart"/>
      <w:r w:rsidRPr="002B38B8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Богучарского муниципального района от  «</w:t>
      </w:r>
      <w:r w:rsidR="001276C2">
        <w:rPr>
          <w:rFonts w:ascii="Times New Roman" w:hAnsi="Times New Roman" w:cs="Times New Roman"/>
          <w:b w:val="0"/>
          <w:sz w:val="28"/>
          <w:szCs w:val="28"/>
        </w:rPr>
        <w:t>19</w:t>
      </w:r>
      <w:r w:rsidRPr="002B38B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2021 № </w:t>
      </w:r>
      <w:r w:rsidR="001276C2">
        <w:rPr>
          <w:rFonts w:ascii="Times New Roman" w:hAnsi="Times New Roman" w:cs="Times New Roman"/>
          <w:b w:val="0"/>
          <w:sz w:val="28"/>
          <w:szCs w:val="28"/>
        </w:rPr>
        <w:t>133-р</w:t>
      </w:r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 «О выделении денежных средств»,  Соглашением между органами местного самоуправления Богучарского муниципального района и органами местного самоуправления сельского поселения Богучарского муниципального района об осуществлении части полномочий органов местного самоуправления Богучарского муниципального района по дорожной</w:t>
      </w:r>
      <w:proofErr w:type="gramEnd"/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в отношении автомобильных дорог общего пользования местного значения в границах населенных пунктов органами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Твердохлебовского</w:t>
      </w:r>
      <w:proofErr w:type="spellEnd"/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от  </w:t>
      </w:r>
      <w:r w:rsidRPr="001276C2">
        <w:rPr>
          <w:rFonts w:ascii="Times New Roman" w:hAnsi="Times New Roman" w:cs="Times New Roman"/>
          <w:b w:val="0"/>
          <w:sz w:val="28"/>
          <w:szCs w:val="28"/>
        </w:rPr>
        <w:t>«15» марта 2021 № 5</w:t>
      </w:r>
      <w:r w:rsidR="001276C2">
        <w:rPr>
          <w:rFonts w:ascii="Times New Roman" w:hAnsi="Times New Roman" w:cs="Times New Roman"/>
          <w:b w:val="0"/>
          <w:sz w:val="28"/>
          <w:szCs w:val="28"/>
        </w:rPr>
        <w:t>,</w:t>
      </w:r>
      <w:r w:rsidRPr="001276C2">
        <w:rPr>
          <w:rFonts w:ascii="Times New Roman" w:hAnsi="Times New Roman" w:cs="Times New Roman"/>
          <w:b w:val="0"/>
          <w:sz w:val="28"/>
          <w:szCs w:val="28"/>
        </w:rPr>
        <w:t xml:space="preserve"> Уставом</w:t>
      </w:r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района, Совет народных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38B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</w:t>
      </w:r>
      <w:proofErr w:type="spellStart"/>
      <w:proofErr w:type="gramStart"/>
      <w:r w:rsidRPr="002B38B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38B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B38B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B38B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02BBB" w:rsidRPr="002B38B8" w:rsidRDefault="00502BBB" w:rsidP="00502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8B8">
        <w:rPr>
          <w:rFonts w:ascii="Times New Roman" w:hAnsi="Times New Roman"/>
          <w:sz w:val="28"/>
          <w:szCs w:val="28"/>
        </w:rPr>
        <w:t xml:space="preserve">1. Утвердить план дорожных работ по ремонту автомобильных дорог общего пользования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2B38B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на 2021 год согласно приложению.</w:t>
      </w:r>
    </w:p>
    <w:p w:rsidR="00502BBB" w:rsidRPr="002B38B8" w:rsidRDefault="00502BBB" w:rsidP="00502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8B8">
        <w:rPr>
          <w:rFonts w:ascii="Times New Roman" w:hAnsi="Times New Roman"/>
          <w:sz w:val="28"/>
          <w:szCs w:val="28"/>
        </w:rPr>
        <w:t xml:space="preserve">2. Определение подрядчиков по ремонту автомобильных дорог общего пользования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2B38B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B38B8">
        <w:rPr>
          <w:rFonts w:ascii="Times New Roman" w:hAnsi="Times New Roman"/>
          <w:sz w:val="28"/>
          <w:szCs w:val="28"/>
        </w:rPr>
        <w:lastRenderedPageBreak/>
        <w:t xml:space="preserve">Богучарского муниципального района Воронежской области осуществить путем проведения совместного </w:t>
      </w:r>
      <w:r>
        <w:rPr>
          <w:rFonts w:ascii="Times New Roman" w:hAnsi="Times New Roman"/>
          <w:sz w:val="28"/>
          <w:szCs w:val="28"/>
        </w:rPr>
        <w:t>аукциона</w:t>
      </w:r>
      <w:r w:rsidRPr="002B38B8">
        <w:rPr>
          <w:rFonts w:ascii="Times New Roman" w:hAnsi="Times New Roman"/>
          <w:sz w:val="28"/>
          <w:szCs w:val="28"/>
        </w:rPr>
        <w:t>.</w:t>
      </w:r>
    </w:p>
    <w:p w:rsidR="00502BBB" w:rsidRPr="002B38B8" w:rsidRDefault="00502BBB" w:rsidP="00502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8B8">
        <w:rPr>
          <w:rFonts w:ascii="Times New Roman" w:hAnsi="Times New Roman"/>
          <w:sz w:val="28"/>
          <w:szCs w:val="28"/>
        </w:rPr>
        <w:t xml:space="preserve">3. Передать полномочия по определению подрядчиков по ремонту автомобильных дорог общего пользования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2B38B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путем проведения совместного </w:t>
      </w:r>
      <w:r>
        <w:rPr>
          <w:rFonts w:ascii="Times New Roman" w:hAnsi="Times New Roman"/>
          <w:sz w:val="28"/>
          <w:szCs w:val="28"/>
        </w:rPr>
        <w:t>аукциона</w:t>
      </w:r>
      <w:r w:rsidRPr="002B38B8">
        <w:rPr>
          <w:rFonts w:ascii="Times New Roman" w:hAnsi="Times New Roman"/>
          <w:sz w:val="28"/>
          <w:szCs w:val="28"/>
        </w:rPr>
        <w:t xml:space="preserve"> администрации Богучарского муниципального района Воронежской области.</w:t>
      </w:r>
    </w:p>
    <w:p w:rsidR="00502BBB" w:rsidRPr="002B38B8" w:rsidRDefault="00502BBB" w:rsidP="00502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8B8">
        <w:rPr>
          <w:rFonts w:ascii="Times New Roman" w:hAnsi="Times New Roman"/>
          <w:sz w:val="28"/>
          <w:szCs w:val="28"/>
        </w:rPr>
        <w:t xml:space="preserve">4.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2B38B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заключить соглашение  с администрацией  Богучарского муниципального района Воронежской области по определению подрядчиков по ремонту дорог общего пользования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2B38B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путем проведения совместного </w:t>
      </w:r>
      <w:r>
        <w:rPr>
          <w:rFonts w:ascii="Times New Roman" w:hAnsi="Times New Roman"/>
          <w:sz w:val="28"/>
          <w:szCs w:val="28"/>
        </w:rPr>
        <w:t>аукциона</w:t>
      </w:r>
      <w:r w:rsidRPr="002B38B8">
        <w:rPr>
          <w:rFonts w:ascii="Times New Roman" w:hAnsi="Times New Roman"/>
          <w:sz w:val="28"/>
          <w:szCs w:val="28"/>
        </w:rPr>
        <w:t>.</w:t>
      </w:r>
    </w:p>
    <w:p w:rsidR="00502BBB" w:rsidRPr="002B38B8" w:rsidRDefault="00502BBB" w:rsidP="00502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8B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B38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38B8">
        <w:rPr>
          <w:rFonts w:ascii="Times New Roman" w:hAnsi="Times New Roman"/>
          <w:sz w:val="28"/>
          <w:szCs w:val="28"/>
        </w:rPr>
        <w:t xml:space="preserve"> исполнением настоящего  решения  оставляю за собой.</w:t>
      </w:r>
    </w:p>
    <w:p w:rsidR="00502BBB" w:rsidRPr="002B38B8" w:rsidRDefault="00502BBB" w:rsidP="00502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BBB" w:rsidRPr="002B38B8" w:rsidRDefault="00502BBB" w:rsidP="00502B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502BBB" w:rsidRPr="002B38B8" w:rsidRDefault="00502BBB" w:rsidP="00502B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B38B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 w:rsidRPr="002B38B8">
        <w:rPr>
          <w:sz w:val="28"/>
          <w:szCs w:val="28"/>
        </w:rPr>
        <w:t xml:space="preserve"> </w:t>
      </w:r>
      <w:proofErr w:type="gramStart"/>
      <w:r w:rsidRPr="002B38B8">
        <w:rPr>
          <w:sz w:val="28"/>
          <w:szCs w:val="28"/>
        </w:rPr>
        <w:t>сельского</w:t>
      </w:r>
      <w:proofErr w:type="gramEnd"/>
      <w:r w:rsidRPr="002B38B8">
        <w:rPr>
          <w:sz w:val="28"/>
          <w:szCs w:val="28"/>
        </w:rPr>
        <w:t xml:space="preserve"> поселения</w:t>
      </w:r>
    </w:p>
    <w:p w:rsidR="00502BBB" w:rsidRPr="002B38B8" w:rsidRDefault="00502BBB" w:rsidP="00502B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B38B8">
        <w:rPr>
          <w:sz w:val="28"/>
          <w:szCs w:val="28"/>
        </w:rPr>
        <w:t xml:space="preserve">Богучарского муниципального района </w:t>
      </w:r>
    </w:p>
    <w:p w:rsidR="00502BBB" w:rsidRPr="002B38B8" w:rsidRDefault="00502BBB" w:rsidP="00502B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B38B8">
        <w:rPr>
          <w:sz w:val="28"/>
          <w:szCs w:val="28"/>
        </w:rPr>
        <w:t xml:space="preserve">Воронежский области                                                            </w:t>
      </w:r>
      <w:r>
        <w:rPr>
          <w:sz w:val="28"/>
          <w:szCs w:val="28"/>
        </w:rPr>
        <w:t>А.Н. Калашников</w:t>
      </w:r>
    </w:p>
    <w:p w:rsidR="00502BBB" w:rsidRPr="002B38B8" w:rsidRDefault="00502BBB" w:rsidP="00502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8B8">
        <w:rPr>
          <w:rFonts w:ascii="Times New Roman" w:hAnsi="Times New Roman"/>
          <w:sz w:val="28"/>
          <w:szCs w:val="28"/>
        </w:rPr>
        <w:br w:type="page"/>
      </w:r>
    </w:p>
    <w:p w:rsidR="00502BBB" w:rsidRPr="002B38B8" w:rsidRDefault="00502BBB" w:rsidP="00502BBB">
      <w:pPr>
        <w:pStyle w:val="2"/>
        <w:shd w:val="clear" w:color="auto" w:fill="auto"/>
        <w:spacing w:line="240" w:lineRule="auto"/>
        <w:ind w:left="3969" w:firstLine="0"/>
        <w:jc w:val="both"/>
        <w:rPr>
          <w:sz w:val="28"/>
          <w:szCs w:val="28"/>
        </w:rPr>
      </w:pPr>
      <w:r w:rsidRPr="002B38B8">
        <w:rPr>
          <w:sz w:val="28"/>
          <w:szCs w:val="28"/>
        </w:rPr>
        <w:t xml:space="preserve">Приложение </w:t>
      </w:r>
    </w:p>
    <w:p w:rsidR="00502BBB" w:rsidRPr="002B38B8" w:rsidRDefault="00502BBB" w:rsidP="00502BBB">
      <w:pPr>
        <w:pStyle w:val="2"/>
        <w:shd w:val="clear" w:color="auto" w:fill="auto"/>
        <w:spacing w:line="240" w:lineRule="auto"/>
        <w:ind w:left="3969" w:firstLine="0"/>
        <w:jc w:val="both"/>
        <w:rPr>
          <w:sz w:val="28"/>
          <w:szCs w:val="28"/>
        </w:rPr>
      </w:pPr>
      <w:r w:rsidRPr="002B38B8">
        <w:rPr>
          <w:sz w:val="28"/>
          <w:szCs w:val="28"/>
        </w:rPr>
        <w:t>к решению Совета народных депутатов</w:t>
      </w:r>
    </w:p>
    <w:p w:rsidR="00502BBB" w:rsidRPr="002B38B8" w:rsidRDefault="00502BBB" w:rsidP="00502BBB">
      <w:pPr>
        <w:pStyle w:val="2"/>
        <w:shd w:val="clear" w:color="auto" w:fill="auto"/>
        <w:spacing w:line="240" w:lineRule="auto"/>
        <w:ind w:left="396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Твердохлебовского</w:t>
      </w:r>
      <w:proofErr w:type="spellEnd"/>
      <w:r w:rsidRPr="002B38B8">
        <w:rPr>
          <w:sz w:val="28"/>
          <w:szCs w:val="28"/>
        </w:rPr>
        <w:t xml:space="preserve"> сельского поселения</w:t>
      </w:r>
    </w:p>
    <w:p w:rsidR="00502BBB" w:rsidRPr="002B38B8" w:rsidRDefault="00502BBB" w:rsidP="00502BBB">
      <w:pPr>
        <w:pStyle w:val="2"/>
        <w:shd w:val="clear" w:color="auto" w:fill="auto"/>
        <w:spacing w:line="240" w:lineRule="auto"/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276C2">
        <w:rPr>
          <w:sz w:val="28"/>
          <w:szCs w:val="28"/>
        </w:rPr>
        <w:t xml:space="preserve">19 </w:t>
      </w:r>
      <w:r>
        <w:rPr>
          <w:sz w:val="28"/>
          <w:szCs w:val="28"/>
        </w:rPr>
        <w:t>»</w:t>
      </w:r>
      <w:r w:rsidR="001276C2">
        <w:rPr>
          <w:sz w:val="28"/>
          <w:szCs w:val="28"/>
        </w:rPr>
        <w:t xml:space="preserve"> мая </w:t>
      </w:r>
      <w:r w:rsidRPr="002B38B8">
        <w:rPr>
          <w:sz w:val="28"/>
          <w:szCs w:val="28"/>
        </w:rPr>
        <w:t>2021</w:t>
      </w:r>
      <w:r>
        <w:rPr>
          <w:sz w:val="28"/>
          <w:szCs w:val="28"/>
        </w:rPr>
        <w:t xml:space="preserve"> № </w:t>
      </w:r>
      <w:r w:rsidR="001276C2">
        <w:rPr>
          <w:sz w:val="28"/>
          <w:szCs w:val="28"/>
        </w:rPr>
        <w:t>59</w:t>
      </w:r>
    </w:p>
    <w:p w:rsidR="00502BBB" w:rsidRPr="002B38B8" w:rsidRDefault="00502BBB" w:rsidP="00502BB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02BBB" w:rsidRPr="002B38B8" w:rsidRDefault="00502BBB" w:rsidP="00502BB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38B8">
        <w:rPr>
          <w:sz w:val="28"/>
          <w:szCs w:val="28"/>
        </w:rPr>
        <w:t xml:space="preserve">План дорожных работ по ремонту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 w:rsidRPr="002B38B8"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2021 год</w:t>
      </w:r>
    </w:p>
    <w:p w:rsidR="00502BBB" w:rsidRPr="002B38B8" w:rsidRDefault="00502BBB" w:rsidP="00502BB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314"/>
        <w:gridCol w:w="2052"/>
        <w:gridCol w:w="1717"/>
        <w:gridCol w:w="1830"/>
      </w:tblGrid>
      <w:tr w:rsidR="00502BBB" w:rsidRPr="00E336DD" w:rsidTr="00614DD6">
        <w:tc>
          <w:tcPr>
            <w:tcW w:w="810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№ п.п.</w:t>
            </w:r>
          </w:p>
        </w:tc>
        <w:tc>
          <w:tcPr>
            <w:tcW w:w="3381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52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Вид работ</w:t>
            </w:r>
          </w:p>
        </w:tc>
        <w:tc>
          <w:tcPr>
            <w:tcW w:w="1760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Объем работ</w:t>
            </w:r>
          </w:p>
        </w:tc>
        <w:tc>
          <w:tcPr>
            <w:tcW w:w="1854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Сметная стоимость работ в ценах 2021 года, тыс. руб.</w:t>
            </w:r>
          </w:p>
        </w:tc>
      </w:tr>
      <w:tr w:rsidR="00502BBB" w:rsidRPr="00E336DD" w:rsidTr="00614DD6">
        <w:tc>
          <w:tcPr>
            <w:tcW w:w="810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5</w:t>
            </w:r>
          </w:p>
        </w:tc>
      </w:tr>
      <w:tr w:rsidR="00502BBB" w:rsidRPr="00E336DD" w:rsidTr="00614DD6">
        <w:tc>
          <w:tcPr>
            <w:tcW w:w="810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84638">
              <w:rPr>
                <w:sz w:val="28"/>
                <w:szCs w:val="28"/>
              </w:rPr>
              <w:t xml:space="preserve">Ремонт автомобильной дороги с. </w:t>
            </w:r>
            <w:proofErr w:type="spellStart"/>
            <w:r w:rsidRPr="00E84638">
              <w:rPr>
                <w:sz w:val="28"/>
                <w:szCs w:val="28"/>
              </w:rPr>
              <w:t>Твердохлебовка</w:t>
            </w:r>
            <w:proofErr w:type="spellEnd"/>
            <w:r w:rsidRPr="00E84638">
              <w:rPr>
                <w:sz w:val="28"/>
                <w:szCs w:val="28"/>
              </w:rPr>
              <w:t xml:space="preserve"> ул. Калинина, Мира, </w:t>
            </w:r>
            <w:proofErr w:type="gramStart"/>
            <w:r w:rsidRPr="00E84638">
              <w:rPr>
                <w:sz w:val="28"/>
                <w:szCs w:val="28"/>
              </w:rPr>
              <w:t>Советская</w:t>
            </w:r>
            <w:proofErr w:type="gramEnd"/>
            <w:r w:rsidRPr="00E84638">
              <w:rPr>
                <w:sz w:val="28"/>
                <w:szCs w:val="28"/>
              </w:rPr>
              <w:t xml:space="preserve"> Богучарского муниципального района Воронежской области</w:t>
            </w:r>
          </w:p>
        </w:tc>
        <w:tc>
          <w:tcPr>
            <w:tcW w:w="2052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E336DD">
              <w:rPr>
                <w:sz w:val="28"/>
                <w:szCs w:val="28"/>
              </w:rPr>
              <w:t>Ремонт автомобильной дороги</w:t>
            </w:r>
          </w:p>
        </w:tc>
        <w:tc>
          <w:tcPr>
            <w:tcW w:w="1760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1,171 км</w:t>
            </w:r>
          </w:p>
        </w:tc>
        <w:tc>
          <w:tcPr>
            <w:tcW w:w="1854" w:type="dxa"/>
          </w:tcPr>
          <w:p w:rsidR="00502BBB" w:rsidRPr="00E336DD" w:rsidRDefault="00502BBB" w:rsidP="00614DD6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4601,291</w:t>
            </w:r>
          </w:p>
        </w:tc>
      </w:tr>
      <w:tr w:rsidR="00502BBB" w:rsidRPr="00E336DD" w:rsidTr="00614DD6">
        <w:tc>
          <w:tcPr>
            <w:tcW w:w="810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2</w:t>
            </w:r>
          </w:p>
        </w:tc>
        <w:tc>
          <w:tcPr>
            <w:tcW w:w="3381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84638">
              <w:rPr>
                <w:sz w:val="28"/>
                <w:szCs w:val="28"/>
              </w:rPr>
              <w:t xml:space="preserve">Ремонт автомобильной дороги п. Вишневый ул. </w:t>
            </w:r>
            <w:proofErr w:type="gramStart"/>
            <w:r w:rsidRPr="00E84638">
              <w:rPr>
                <w:sz w:val="28"/>
                <w:szCs w:val="28"/>
              </w:rPr>
              <w:t>Звездная</w:t>
            </w:r>
            <w:proofErr w:type="gramEnd"/>
            <w:r w:rsidRPr="00E84638">
              <w:rPr>
                <w:sz w:val="28"/>
                <w:szCs w:val="28"/>
              </w:rPr>
              <w:t xml:space="preserve"> Богучарского муниципального района Воронежской области</w:t>
            </w:r>
          </w:p>
        </w:tc>
        <w:tc>
          <w:tcPr>
            <w:tcW w:w="2052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E336DD">
              <w:rPr>
                <w:sz w:val="28"/>
                <w:szCs w:val="28"/>
              </w:rPr>
              <w:t>Ремонт автомобильной дороги</w:t>
            </w:r>
          </w:p>
        </w:tc>
        <w:tc>
          <w:tcPr>
            <w:tcW w:w="1760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  <w:r w:rsidRPr="00E336DD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854" w:type="dxa"/>
          </w:tcPr>
          <w:p w:rsidR="00502BBB" w:rsidRPr="00E336DD" w:rsidRDefault="00502BBB" w:rsidP="00614DD6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589,436</w:t>
            </w:r>
          </w:p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02BBB" w:rsidRPr="00E336DD" w:rsidTr="00614DD6">
        <w:tc>
          <w:tcPr>
            <w:tcW w:w="810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1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84638">
              <w:rPr>
                <w:sz w:val="28"/>
                <w:szCs w:val="28"/>
              </w:rPr>
              <w:t xml:space="preserve">Ремонт автомобильной дороги п. Вишневый ул. </w:t>
            </w:r>
            <w:proofErr w:type="gramStart"/>
            <w:r w:rsidRPr="00E84638">
              <w:rPr>
                <w:sz w:val="28"/>
                <w:szCs w:val="28"/>
              </w:rPr>
              <w:t>Полевая</w:t>
            </w:r>
            <w:proofErr w:type="gramEnd"/>
            <w:r w:rsidRPr="00E84638">
              <w:rPr>
                <w:sz w:val="28"/>
                <w:szCs w:val="28"/>
              </w:rPr>
              <w:t xml:space="preserve"> Богучарского муниципального района Воронежской области</w:t>
            </w:r>
          </w:p>
        </w:tc>
        <w:tc>
          <w:tcPr>
            <w:tcW w:w="2052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E336DD">
              <w:rPr>
                <w:sz w:val="28"/>
                <w:szCs w:val="28"/>
              </w:rPr>
              <w:t>Ремонт автомобильной дороги</w:t>
            </w:r>
          </w:p>
        </w:tc>
        <w:tc>
          <w:tcPr>
            <w:tcW w:w="1760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0,335 км</w:t>
            </w:r>
          </w:p>
        </w:tc>
        <w:tc>
          <w:tcPr>
            <w:tcW w:w="1854" w:type="dxa"/>
          </w:tcPr>
          <w:p w:rsidR="00502BBB" w:rsidRPr="00E336DD" w:rsidRDefault="00502BBB" w:rsidP="00614DD6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1316,682</w:t>
            </w:r>
          </w:p>
        </w:tc>
      </w:tr>
      <w:tr w:rsidR="00502BBB" w:rsidRPr="00E336DD" w:rsidTr="00614DD6">
        <w:tc>
          <w:tcPr>
            <w:tcW w:w="6243" w:type="dxa"/>
            <w:gridSpan w:val="3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36DD">
              <w:rPr>
                <w:sz w:val="28"/>
                <w:szCs w:val="28"/>
              </w:rPr>
              <w:t>Итого</w:t>
            </w:r>
          </w:p>
        </w:tc>
        <w:tc>
          <w:tcPr>
            <w:tcW w:w="1760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02BBB" w:rsidRPr="00E336DD" w:rsidRDefault="00502BBB" w:rsidP="00614DD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6507,409</w:t>
            </w:r>
          </w:p>
        </w:tc>
      </w:tr>
    </w:tbl>
    <w:p w:rsidR="00502BBB" w:rsidRPr="002B38B8" w:rsidRDefault="00502BBB" w:rsidP="00502B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02BBB" w:rsidRPr="002B38B8" w:rsidSect="00EE0962">
      <w:pgSz w:w="11909" w:h="16834"/>
      <w:pgMar w:top="1134" w:right="710" w:bottom="170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75854"/>
    <w:rsid w:val="000118CF"/>
    <w:rsid w:val="00093716"/>
    <w:rsid w:val="000B7EE8"/>
    <w:rsid w:val="000F0F58"/>
    <w:rsid w:val="00126C5F"/>
    <w:rsid w:val="001276C2"/>
    <w:rsid w:val="001C299E"/>
    <w:rsid w:val="001D725D"/>
    <w:rsid w:val="00213E10"/>
    <w:rsid w:val="00245B1E"/>
    <w:rsid w:val="002B38B8"/>
    <w:rsid w:val="002C6B34"/>
    <w:rsid w:val="00374A20"/>
    <w:rsid w:val="00502BBB"/>
    <w:rsid w:val="005049BB"/>
    <w:rsid w:val="006F3C87"/>
    <w:rsid w:val="007018E1"/>
    <w:rsid w:val="007A7BAB"/>
    <w:rsid w:val="007D120E"/>
    <w:rsid w:val="007F12D5"/>
    <w:rsid w:val="007F7D5F"/>
    <w:rsid w:val="00903F0F"/>
    <w:rsid w:val="00975854"/>
    <w:rsid w:val="009C16DA"/>
    <w:rsid w:val="009F40F1"/>
    <w:rsid w:val="00A75A23"/>
    <w:rsid w:val="00B74437"/>
    <w:rsid w:val="00CB1758"/>
    <w:rsid w:val="00D4680F"/>
    <w:rsid w:val="00DC57AC"/>
    <w:rsid w:val="00EE0962"/>
    <w:rsid w:val="00F04D6C"/>
    <w:rsid w:val="00F42B70"/>
    <w:rsid w:val="00F4347B"/>
    <w:rsid w:val="00FC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758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975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9758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585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97585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75854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7585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975854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tandard">
    <w:name w:val="Standard"/>
    <w:rsid w:val="009758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7F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38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260C-11B8-4311-BC03-41F2932E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Lugovskoe</dc:creator>
  <cp:lastModifiedBy>mail-misp</cp:lastModifiedBy>
  <cp:revision>9</cp:revision>
  <cp:lastPrinted>2021-05-19T04:49:00Z</cp:lastPrinted>
  <dcterms:created xsi:type="dcterms:W3CDTF">2021-04-20T11:38:00Z</dcterms:created>
  <dcterms:modified xsi:type="dcterms:W3CDTF">2021-05-19T04:50:00Z</dcterms:modified>
</cp:coreProperties>
</file>