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40"/>
        </w:tabs>
        <w:snapToGrid w:val="0"/>
        <w:spacing w:after="0" w:line="240" w:lineRule="auto"/>
        <w:jc w:val="left"/>
        <w:rPr>
          <w:rFonts w:hint="default" w:ascii="Times New Roman" w:hAnsi="Times New Roman" w:eastAsia="Times New Roman" w:cs="Times New Roman"/>
          <w:b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                                                                                         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both"/>
        <w:outlineLvl w:val="9"/>
        <w:rPr>
          <w:rFonts w:hint="default"/>
          <w:sz w:val="28"/>
          <w:szCs w:val="28"/>
          <w:lang w:val="ru-RU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center"/>
        <w:outlineLvl w:val="9"/>
      </w:pPr>
      <w:r>
        <w:drawing>
          <wp:inline distT="0" distB="0" distL="114300" distR="114300">
            <wp:extent cx="532765" cy="685800"/>
            <wp:effectExtent l="0" t="0" r="6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Chars="0" w:firstLine="0" w:firstLineChars="0"/>
        <w:jc w:val="center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СОВЕТСКОЕ 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РОДСКОЕ ПОСЕЛЕНИЕ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СОВЕТСКОГО РАЙОНА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КИРОВСКОЙ ОБЛАСТИ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07.10.2021 года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№ 512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. Советск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Об утверждении муниципальной программы «Развитие транспортной инфраструктуры города Советска» на 2021-2032 годы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840" w:firstLineChars="3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Советское городское поселение Советского района Кировской области от 18.06.2013 № 308 «О разработке, реализации и оценки эффективности реализации муниципальных программ муниципального образования Советское городское поселение» с изменениями от 07.12.2015 года № 97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 администрация муниципального образования Советское городское поселение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ПОСТАНОВЛЯЕТ: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840" w:firstLineChars="300"/>
        <w:jc w:val="both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Утвердить муниципальную программу «Развитие транспортной инфраструктуры города Советска» на 2021-2032 годы согласно приложениям.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840" w:firstLineChars="300"/>
        <w:jc w:val="both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Отменить постановление от 07.10.2019 года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ru-RU"/>
        </w:rPr>
        <w:t>№ 605 «Об утверждении муниципальной программы «Развитие транспортной инфраструктуры города Советска» на 2019-2020 годы».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840" w:firstLineChars="30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 xml:space="preserve">Контроль за исполнением настоящего постановления возложить на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заведующего отделом экономики, финансов и закупок С.В. Комлеву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840" w:firstLineChars="30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4.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840" w:firstLineChars="30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И.о. г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лав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ы администрации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both"/>
        <w:textAlignment w:val="baseline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Советское городское поселение                                            А.Г. Мансуров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Согласовано: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Заведующий отделом правового,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кадрового и информационно-аналитического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olor w:val="auto"/>
          <w:spacing w:val="0"/>
          <w:sz w:val="28"/>
          <w:szCs w:val="28"/>
          <w:lang w:val="ru-RU"/>
        </w:rPr>
        <w:t>О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беспечения                                                                            С.С. Максимов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firstLine="840" w:firstLineChars="300"/>
        <w:jc w:val="both"/>
        <w:textAlignment w:val="auto"/>
        <w:outlineLvl w:val="9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840" w:firstLineChars="30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УТВЕРЖДЕНА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постановлением  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Советского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городского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07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.2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021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Style w:val="11"/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aps/>
          <w:sz w:val="28"/>
          <w:szCs w:val="28"/>
        </w:rPr>
        <w:t>советскоЕ городскоЕ поселениЕ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Style w:val="11"/>
          <w:rFonts w:hint="default" w:ascii="Times New Roman" w:hAnsi="Times New Roman" w:cs="Times New Roman"/>
          <w:b/>
          <w:bCs/>
          <w:caps/>
          <w:sz w:val="28"/>
          <w:szCs w:val="28"/>
        </w:rPr>
        <w:t xml:space="preserve">«Развитие </w:t>
      </w: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>транспортной инфрастуктуры города советска»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НА 202</w:t>
      </w: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1</w:t>
      </w: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>-203</w:t>
      </w: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</w:t>
      </w:r>
      <w:r>
        <w:rPr>
          <w:rStyle w:val="11"/>
          <w:rFonts w:hint="default"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ГОДЫ</w:t>
      </w:r>
    </w:p>
    <w:p>
      <w:pPr>
        <w:keepNext w:val="0"/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keepLines w:val="0"/>
        <w:pageBreakBefore w:val="0"/>
        <w:widowControl/>
        <w:tabs>
          <w:tab w:val="left" w:pos="90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0" w:firstLineChars="0"/>
        <w:jc w:val="left"/>
        <w:outlineLvl w:val="9"/>
        <w:rPr>
          <w:rFonts w:hint="default" w:ascii="Times New Roman" w:hAnsi="Times New Roman" w:eastAsia="Times New Roman" w:cs="Times New Roman"/>
          <w:b/>
          <w:sz w:val="28"/>
          <w:lang w:val="ru-RU"/>
        </w:rPr>
      </w:pPr>
    </w:p>
    <w:p>
      <w:pPr>
        <w:tabs>
          <w:tab w:val="left" w:pos="9040"/>
        </w:tabs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>Приложение 1</w:t>
      </w:r>
    </w:p>
    <w:p>
      <w:pPr>
        <w:tabs>
          <w:tab w:val="left" w:pos="9040"/>
        </w:tabs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                                                                                                           к постановлению №512</w:t>
      </w:r>
    </w:p>
    <w:p>
      <w:pPr>
        <w:tabs>
          <w:tab w:val="left" w:pos="9040"/>
        </w:tabs>
        <w:snapToGri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                                                                                                           от 07.10.2021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                                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Паспорт муниципальной программы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Советского городского поселения Советского района Кировской области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«Развитие транспортной инфраструктуры города Советска»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на 20</w:t>
      </w: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>21</w:t>
      </w:r>
      <w:r>
        <w:rPr>
          <w:rFonts w:ascii="Times New Roman" w:hAnsi="Times New Roman" w:eastAsia="Times New Roman" w:cs="Times New Roman"/>
          <w:b/>
          <w:sz w:val="28"/>
        </w:rPr>
        <w:t>-20</w:t>
      </w: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b/>
          <w:sz w:val="28"/>
        </w:rPr>
        <w:t xml:space="preserve"> годы»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tbl>
      <w:tblPr>
        <w:tblStyle w:val="5"/>
        <w:tblW w:w="95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6"/>
        <w:gridCol w:w="58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муниципального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образование </w:t>
            </w:r>
            <w:r>
              <w:rPr>
                <w:rFonts w:ascii="Times New Roman" w:hAnsi="Times New Roman" w:eastAsia="Times New Roman" w:cs="Times New Roman"/>
                <w:sz w:val="24"/>
              </w:rPr>
              <w:t>Советско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городско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поселени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Советского района Кировской области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Соисполнители муниципальной программы *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Отсутствуют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повышение уровня безопасности дорожного движения.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Сохранение и развитие сети автомобильных дорог общего пользования, дворовых территорий и подъездов к ним; сокращение числа дорожно-транспортных происшествий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; обеспечение потребности населения в перевозках на социально-значимых маршрутах муниципального образования.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сохранности сети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ремонт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процентов</w:t>
            </w:r>
            <w:r>
              <w:rPr>
                <w:rFonts w:ascii="Times New Roman" w:hAnsi="Times New Roman" w:eastAsia="Times New Roman" w:cs="Times New Roman"/>
                <w:sz w:val="24"/>
              </w:rPr>
              <w:t>;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количество дорожно-транспортных происшествий с пострадавшими, ед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иниц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срок реализации муниципальной программы: 20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годы;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муниципальная программа реализуется в один этап.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Общий объем финансовых ресурсов, необходимых для реализации муниципальной программы, в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- 20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годах составит 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 xml:space="preserve">62 258,8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тыс.рублей,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средства областного бюджета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 xml:space="preserve">- 29 252,8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тыс.рублей;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hd w:val="clear" w:color="auto" w:fill="FFFF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средства бюджета городского поселения –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ru-RU"/>
              </w:rPr>
              <w:t>33 006,0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 тыс.рублей.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* При отсутствии соисполнителей и подпрограмм муниципальной программы в соответствующем разделе паспорта указывается слово "отсутствуют". 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8"/>
          <w:lang w:val="ru-RU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>Приложение 2</w:t>
      </w:r>
    </w:p>
    <w:p>
      <w:pPr>
        <w:tabs>
          <w:tab w:val="left" w:pos="9040"/>
        </w:tabs>
        <w:wordWrap w:val="0"/>
        <w:snapToGrid w:val="0"/>
        <w:spacing w:after="0" w:line="240" w:lineRule="auto"/>
        <w:ind w:firstLine="6960" w:firstLineChars="2900"/>
        <w:jc w:val="right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  <w:t xml:space="preserve"> к постановлению №512                                                                                                                      от 07.10.2021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left"/>
        <w:textAlignment w:val="auto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Общая характеристика сферы реализации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программы, в том числе формулировки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основных проблем в указанной сфере и прогноз </w:t>
      </w:r>
      <w:r>
        <w:rPr>
          <w:rFonts w:ascii="Times New Roman" w:hAnsi="Times New Roman" w:eastAsia="Times New Roman" w:cs="Times New Roman"/>
          <w:b/>
          <w:sz w:val="28"/>
          <w:lang w:val="ru-RU"/>
        </w:rPr>
        <w:t>её</w:t>
      </w:r>
      <w:r>
        <w:rPr>
          <w:rFonts w:ascii="Times New Roman" w:hAnsi="Times New Roman" w:eastAsia="Times New Roman" w:cs="Times New Roman"/>
          <w:b/>
          <w:sz w:val="28"/>
        </w:rPr>
        <w:t xml:space="preserve"> развития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Автомобильные дороги являются важнейшей составляющей транспортной инфраструктуры поселения, во многом определяя возможности и темпы социально-экономического развития территории Советского городского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В настоящее время </w:t>
      </w:r>
      <w:r>
        <w:rPr>
          <w:rFonts w:ascii="Times New Roman" w:hAnsi="Times New Roman" w:eastAsia="Times New Roman" w:cs="Times New Roman"/>
          <w:sz w:val="28"/>
          <w:lang w:val="ru-RU"/>
        </w:rPr>
        <w:t>протяжённость</w:t>
      </w:r>
      <w:r>
        <w:rPr>
          <w:rFonts w:ascii="Times New Roman" w:hAnsi="Times New Roman" w:eastAsia="Times New Roman" w:cs="Times New Roman"/>
          <w:sz w:val="28"/>
        </w:rPr>
        <w:t xml:space="preserve">  дорог местного значения – 8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>,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</w:rPr>
        <w:t xml:space="preserve"> км. </w:t>
      </w:r>
      <w:r>
        <w:rPr>
          <w:rFonts w:ascii="Times New Roman" w:hAnsi="Times New Roman" w:eastAsia="Times New Roman" w:cs="Times New Roman"/>
          <w:sz w:val="28"/>
          <w:lang w:val="ru-RU"/>
        </w:rPr>
        <w:t>Серьёзной</w:t>
      </w:r>
      <w:r>
        <w:rPr>
          <w:rFonts w:ascii="Times New Roman" w:hAnsi="Times New Roman" w:eastAsia="Times New Roman" w:cs="Times New Roman"/>
          <w:sz w:val="28"/>
        </w:rPr>
        <w:t xml:space="preserve"> проблемой является наличие грунтовых дорог в </w:t>
      </w:r>
      <w:r>
        <w:rPr>
          <w:rFonts w:ascii="Times New Roman" w:hAnsi="Times New Roman" w:eastAsia="Times New Roman" w:cs="Times New Roman"/>
          <w:sz w:val="28"/>
          <w:lang w:val="ru-RU"/>
        </w:rPr>
        <w:t>населённом</w:t>
      </w:r>
      <w:r>
        <w:rPr>
          <w:rFonts w:ascii="Times New Roman" w:hAnsi="Times New Roman" w:eastAsia="Times New Roman" w:cs="Times New Roman"/>
          <w:sz w:val="28"/>
        </w:rPr>
        <w:t xml:space="preserve"> пункте Советского городского поселения, которые оказывают негативное влияние на возможность передвижения во время непогоды и безопасность движения по автомобильным дорогам.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их соответствия нормативным требованиям необходимо выполнение различных видов дорожных работ: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строительство и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Муниципальной программой «Развитие транспортной инфраструктуры» города Советска на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21</w:t>
      </w:r>
      <w:r>
        <w:rPr>
          <w:rFonts w:ascii="Times New Roman" w:hAnsi="Times New Roman" w:eastAsia="Times New Roman" w:cs="Times New Roman"/>
          <w:sz w:val="28"/>
        </w:rPr>
        <w:t>–20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sz w:val="28"/>
        </w:rPr>
        <w:t xml:space="preserve"> годы» (далее – муниципальная программа) ставится задача сохранения дорог городского поселения. Основные дороги  поселения за счет их содержания, ремонта и капитального ремонта поддерживаются в состоянии, обеспечивающем требования безопасности движения.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 числу наиболее актуальных проблем дорожного комплекса относятся следующие: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необходимого финансирования  на капитальный ремонт, ремонт и содержание дорог местного значения;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квалифицированных подрядных организаций по капитальному ремонту и ремонту дорог;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подготовка проектной документации на капитальный ремонт автомобильных дорог местного значения и искусственных сооружений на них;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приобретение  дорожных знаков, необходимых для установки на дорогах;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большая протяженность уличной дорожной сети   поселения затрудняет обслуживание и ремонт дорог;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предприятий, с которыми возможны заключения договоров на обслуживание дорог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Как отмечается в транспортной стратегии  РФ на период до 2032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 года, утверджденной распоряжением Правительства РФ от 22.11.2008 года № 1734-р, 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 Транспорт - не только отрасль, перемещающая грузы и людей, а в первую очередь межотраслевая система, преобразующая условия жизнедеятельности и хозяйствования.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42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экономическую конкурентоспособность Советского городского поселения.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2. Цели, задачи, целевые показатели эффективности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реализации муниципальной программы, описание ожидаемых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конечных результатов муниципальной программы,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сроков и этапов реализации муниципальной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3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Основными целями муниципальной программы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повышение уровня безопасности дорожного движения.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достижения указанных целей в рамках реализации муниципальной программы должны быть решены следующие задачи: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пользования, дворовых территорий и подъездов к ним (сохранение существующей сети автомобильных дорог –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сокращение числа дорожно-транспортных происшествий (обеспечение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территории).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Целевыми показателями эффективности реализации муниципальной программы являются: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обеспечение сохранности сети автомобильных дорог общего пользования местного значения, км, (значение показателя определяется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автомобильных дорог общего пользования местного значения, км, (значение показателя определяется в соответствии с данными Кировстата по форме № 1-ФД «Сведения об использовании средств федерального дорожного фонда, дородных фондов субъектов Российской Федерации, муниципальных дорожных фондов»);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показателя определяется  по формуле: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Дн=Пн/Пд*100,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Пн – протяженность автомобильных дорог общего пользования местного значения, не отвечающих нормативным требованиям, 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Пд – протяженность автомобильных дорог общего пользования местного значения, км.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показателей Пн, Пд берется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количество дорожно-транспортных происшествий с пострадавшими, ед.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показателя берется из ведомственной отчетности отделения ОГИБДД МО МВД России «Советский».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Сведения о целевых показателях эффективности реализации муниципальной программы  и их значения приведены в приложении № 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 период реализации муниципальной программы предполагается достичь следующих результатов: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обеспечить сохранность сети автомобильных дорог общего пользования местного значения –  8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3,3</w:t>
      </w:r>
      <w:r>
        <w:rPr>
          <w:rFonts w:ascii="Times New Roman" w:hAnsi="Times New Roman" w:eastAsia="Times New Roman" w:cs="Times New Roman"/>
          <w:sz w:val="28"/>
        </w:rPr>
        <w:t xml:space="preserve"> 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ремонт автомобильных дорог общего пользования местного значения –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3.004</w:t>
      </w:r>
      <w:r>
        <w:rPr>
          <w:rFonts w:ascii="Times New Roman" w:hAnsi="Times New Roman" w:eastAsia="Times New Roman" w:cs="Times New Roman"/>
          <w:sz w:val="28"/>
        </w:rPr>
        <w:t>км;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</w:t>
      </w:r>
      <w:r>
        <w:rPr>
          <w:rFonts w:ascii="Times New Roman" w:hAnsi="Times New Roman" w:eastAsia="Times New Roman" w:cs="Times New Roman"/>
          <w:bCs/>
          <w:sz w:val="28"/>
        </w:rPr>
        <w:t>2</w:t>
      </w:r>
      <w:r>
        <w:rPr>
          <w:rFonts w:hint="default" w:ascii="Times New Roman" w:hAnsi="Times New Roman" w:eastAsia="Times New Roman" w:cs="Times New Roman"/>
          <w:bCs/>
          <w:sz w:val="28"/>
          <w:lang w:val="ru-RU"/>
        </w:rPr>
        <w:t>3.6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снижение количества дорожно-транспортных происшествий с пострадавшими – до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6 </w:t>
      </w:r>
      <w:r>
        <w:rPr>
          <w:rFonts w:ascii="Times New Roman" w:hAnsi="Times New Roman" w:eastAsia="Times New Roman" w:cs="Times New Roman"/>
          <w:sz w:val="28"/>
        </w:rPr>
        <w:t>происшествий.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 мероприятий реализации муниципальной программы приведен в приложении № 4.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Срок реализации программы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21</w:t>
      </w:r>
      <w:r>
        <w:rPr>
          <w:rFonts w:ascii="Times New Roman" w:hAnsi="Times New Roman" w:eastAsia="Times New Roman" w:cs="Times New Roman"/>
          <w:sz w:val="28"/>
        </w:rPr>
        <w:t xml:space="preserve"> – 20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sz w:val="28"/>
        </w:rPr>
        <w:t xml:space="preserve"> годы.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Разбивка программных мероприятий на этапы не предусмотрена.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Обобщенная характеристика мероприятий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Мероприятия муниципальной программы исходят из реально существующих потребностей экономики и населения Советского городского поселения, и включают в себя развитие транспортной инфраструктуры с повышением ее безопасности и доступности.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Мероприятия муниципальной программы отражены в приложении № 4 и реализуются по следующим направлениям: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1. Содержание автомобильных дорог общего пользования местного значения и искусственных сооружений на них.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2. Ремонт автомобильных дорог общего пользования местного значения и искусственных сооружений на них.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3. Повышение безопасности дорожного движения, в том числе: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совершенствование организации движения транспорта и пешеходов на участках улично-дорожной сети г. Советска – обустройство пешеходных переходов, замена, установка дорожных знаков, дорожных ограждений, нанесение дорожной разметки, устранение повреждений покрытия тротуаров (ремонт покрытия);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ежегодных комиссионных обследований автомобильных дорог общего пользования местного значения населенных пунктов, мостов;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выявление потенциально опасных участков автодорожной сети и мест концентрации ДТП, реализация на основе полученных результатов  соответствующих мероприятий;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мероприятий по повышению безопасности дорожного движения (проведение конкурсов «Безопасное колесо», «Зеленый огонек»).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Обеспечение транспортного обслуживания населения: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Транспортная деятельность в Советском городском поселении предоставлена перевозками грузов и пассажирскими перевозками наземным транспортом.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Перевозками грузов в городском поселении занимаются как юридические  лица, так и индивидуальные предприниматели.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lang w:val="ru-RU"/>
        </w:rPr>
        <w:t>В целях транспортного обслуживания начеления в Советском городском поселении организованы регулярные перевозки пассажиров и багажа автомобильным транспортом общего пользования. Пассажирский транспорт общего пользования регулярных перевозок предоставлен автобусами.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4. Основные меры правового регулирования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в сфере реализации 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Разработка и утверждение дополнительных нормативных правовых актов   будут осуществлены в случае внесения изменений и (или) принятия на федеральном, областном и местном  уровнях нормативных правовых актов, затрагивающих сферу реализации муниципальной программы.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5. Ресурсное обеспечение 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Расходы на реализацию муниципальной программы планируется осуществлять за счет средств бюджета поселения и областного бюджета.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Общий объем финансовых ресурсов, необходимых для реализации муниципальной программы, в 20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21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- 20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32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годах составит 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62 258,8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рублей, в том числе: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средства областного бюджета –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lang w:val="ru-RU"/>
        </w:rPr>
        <w:t>29 252,8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средства  бюджета городского поселения –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lang w:val="ru-RU"/>
        </w:rPr>
        <w:t>33 006,0</w:t>
      </w: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 тыс. рублей.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бюджетных ассигнований будут уточняться ежегодно при формировании  бюджета городского поселения на очередной финансовый год и на плановый период и при внесении изменений в бюджет городского поселения на очередной финансовый год и на плановый период.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с мероприятиями приведена в приложении №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bCs/>
          <w:sz w:val="28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по основным направлениям финансирования относятся к капитальным вложениям и прочим расходам, приведены в таблице.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по основным направлениям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2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финансирования муниципальной программы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2"/>
        </w:rPr>
        <w:t>(тыс. рублей)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 w:val="0"/>
          <w:bCs/>
          <w:sz w:val="22"/>
        </w:rPr>
      </w:pPr>
    </w:p>
    <w:tbl>
      <w:tblPr>
        <w:tblStyle w:val="5"/>
        <w:tblW w:w="971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9"/>
        <w:gridCol w:w="1843"/>
        <w:gridCol w:w="1417"/>
        <w:gridCol w:w="1418"/>
        <w:gridCol w:w="14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Основные направления   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Объемы финансирования в 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– 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32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годах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в том числе по годам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Calibri" w:hAnsi="Calibri" w:eastAsia="Calibri" w:cs="Calibri"/>
                <w:b w:val="0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Муниципальная программа -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всего, в том числе:                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/>
                <w:b w:val="0"/>
                <w:bCs/>
                <w:lang w:val="ru-RU"/>
              </w:rPr>
              <w:t>62 258,8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62" w:right="-120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 xml:space="preserve"> 32 338,7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>15096.14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>14823.97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капитальные вложения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b w:val="0"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  <w:t xml:space="preserve">прочие расходы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lang w:val="ru-RU"/>
              </w:rPr>
              <w:t>62 258,8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62" w:leftChars="0" w:right="-120" w:rightChars="0"/>
              <w:jc w:val="center"/>
              <w:textAlignment w:val="auto"/>
              <w:rPr>
                <w:rFonts w:hint="default"/>
                <w:b w:val="0"/>
                <w:bCs/>
                <w:sz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>32 338,7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>15096.14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 w:val="0"/>
                <w:bCs/>
                <w:sz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lang w:val="ru-RU"/>
              </w:rPr>
              <w:t>14823.97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При определении объема финансирования мероприятий по выполнению капитального ремонта и ремонта автомобильных дорог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6. Анализ рисков реализации муниципальной 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 w:val="0"/>
          <w:sz w:val="28"/>
        </w:rPr>
      </w:pPr>
      <w:r>
        <w:rPr>
          <w:rFonts w:ascii="Times New Roman" w:hAnsi="Times New Roman" w:eastAsia="Times New Roman" w:cs="Times New Roman"/>
          <w:b/>
          <w:bCs w:val="0"/>
          <w:sz w:val="28"/>
        </w:rPr>
        <w:t>и описание мер управления рисками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 реализации муниципальной программы могут возникнуть следующие группы рисков: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</w:rPr>
      </w:pPr>
    </w:p>
    <w:tbl>
      <w:tblPr>
        <w:tblStyle w:val="5"/>
        <w:tblW w:w="10121" w:type="dxa"/>
        <w:tblInd w:w="7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1"/>
        <w:gridCol w:w="51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 Негативный фактор       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Способы минимизации рисков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Изменение  федерального законодательства в сфере реализации муниципальной программы  </w:t>
            </w:r>
          </w:p>
        </w:tc>
        <w:tc>
          <w:tcPr>
            <w:tcW w:w="51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 регулярного    мониторинга планируемых  изменений  в   федеральном и областном законодательстве    и    своевременная корректировка   нормативных  правовых актов Советского городского поселения Советского  района Кировской области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Недостаточное  финансирование мероприятий муниципальной  программы за счет средств местного бюджета </w:t>
            </w:r>
          </w:p>
        </w:tc>
        <w:tc>
          <w:tcPr>
            <w:tcW w:w="51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определение       приоритетов       для первоочередного финансирования;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привлечение    средств     областного бюджета и  внебюджетных  источников  на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дорожное хозяйство </w:t>
            </w:r>
          </w:p>
        </w:tc>
      </w:tr>
      <w:tr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Существенные    отклонения фактических параметров  инфляции, в том числе цен на энергоресурсы, от параметров,    определенных прогнозом социально-экономического развития Российской Федерации  </w:t>
            </w:r>
          </w:p>
        </w:tc>
        <w:tc>
          <w:tcPr>
            <w:tcW w:w="51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осуществление прогнозирования  развития ситуации в сфере дорожного хозяйства  с  учетом    возможного ухудшения экономической ситуации;  предоставление    поддержки  организациям  дорожного хозяйства   за  счет изменения  доли  участия  в  реализации мероприятий муниципальной программы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2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Несоответствие     (в     сторону уменьшения)  фактически достигнутых  показателей эффективности реализации муниципальной программы запланированным  </w:t>
            </w:r>
          </w:p>
        </w:tc>
        <w:tc>
          <w:tcPr>
            <w:tcW w:w="51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ежегодного  мониторинга   и оценки     эффективности     реализации мероприятий муниципальной программы;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анализ  причин  отклонения   фактически достигнутых  показателей  эффективности реализации муниципальной программы от запланированных; оперативная  разработка  и реализация комплекса  мер,  направленных на повышение эффективности    реализации мероприятий муниципальной программы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 Методика оценки эффективности реализации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1) степени достижения целей и решения задач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муниципальной программы и ее плановых значений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Сдц = (Сдп1+Сдп2+СдпN) / 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Сдц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целей (решения задач);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Сдп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целевых показателей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N - количество  целевых показателей реализации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Степень достижения целевых показателей  реализации муниципальной программы 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(Сдп) </w:t>
      </w:r>
      <w:r>
        <w:rPr>
          <w:rFonts w:ascii="Times New Roman" w:hAnsi="Times New Roman" w:eastAsia="Times New Roman" w:cs="Times New Roman"/>
          <w:color w:val="000000"/>
          <w:sz w:val="28"/>
        </w:rPr>
        <w:t>рассчитывается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рост значений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 = Зф / Зп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снижение значений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pacing w:val="5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Сдп=Зп / Зф,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pacing w:val="5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Зф - фактическое значение целевого  показателя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Зп - плановое значение целевого показателя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Уф=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</w:rPr>
        <w:t>Фф / Фп,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Уф - уровень финансирования реализации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Фф - фактический объем финансовых ресурсов, направленный на реализацию муниципальной программы;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 п - плановый объем финансовых ресурсов на соответствующий отчетный период.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Эффективность реализации муниципальной программы (Эмп) рассчитывается по следующей формуле: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Эмп = Сдп + Уф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tbl>
      <w:tblPr>
        <w:tblStyle w:val="5"/>
        <w:tblW w:w="963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62"/>
        <w:gridCol w:w="4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Критерии оценки эффективности Эмп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Неэффективная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Менее 0,5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Уровень эффективности удовлетворительный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0,5-0,79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0,8-1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34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Высокоэффективная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textAlignment w:val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Более 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center"/>
        <w:textAlignment w:val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0"/>
        <w:jc w:val="both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  <w:sectPr>
          <w:pgSz w:w="11906" w:h="16838"/>
          <w:pgMar w:top="706" w:right="850" w:bottom="850" w:left="1574" w:header="720" w:footer="720" w:gutter="0"/>
          <w:cols w:equalWidth="0" w:num="1">
            <w:col w:w="8809"/>
          </w:cols>
          <w:docGrid w:type="lines" w:linePitch="321" w:charSpace="0"/>
        </w:sectPr>
      </w:pPr>
    </w:p>
    <w:tbl>
      <w:tblPr>
        <w:tblStyle w:val="10"/>
        <w:tblW w:w="15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1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vertAlign w:val="baseline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</w:p>
          <w:p>
            <w:pPr>
              <w:widowControl w:val="0"/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№ 3</w:t>
            </w:r>
          </w:p>
          <w:p>
            <w:pPr>
              <w:widowControl w:val="0"/>
              <w:tabs>
                <w:tab w:val="left" w:pos="9040"/>
              </w:tabs>
              <w:snapToGrid w:val="0"/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к постановлению № 512</w:t>
            </w:r>
          </w:p>
          <w:p>
            <w:pPr>
              <w:widowControl w:val="0"/>
              <w:tabs>
                <w:tab w:val="left" w:pos="9040"/>
              </w:tabs>
              <w:snapToGrid w:val="0"/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от 07.10.2021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</w:p>
        </w:tc>
      </w:tr>
    </w:tbl>
    <w:p>
      <w:pPr>
        <w:widowControl w:val="0"/>
        <w:autoSpaceDE w:val="0"/>
        <w:ind w:left="10773"/>
        <w:jc w:val="right"/>
        <w:rPr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right="-369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Ресурсное обеспечение </w:t>
      </w: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Советского городского поселения «Развитие транспортной инфраструктуры города Советска»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-203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tbl>
      <w:tblPr>
        <w:tblStyle w:val="5"/>
        <w:tblW w:w="14655" w:type="dxa"/>
        <w:tblInd w:w="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5"/>
        <w:gridCol w:w="5280"/>
        <w:gridCol w:w="2490"/>
        <w:gridCol w:w="1200"/>
        <w:gridCol w:w="1185"/>
        <w:gridCol w:w="1320"/>
        <w:gridCol w:w="124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50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основного мероприятия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49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75" w:right="-97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61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733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24" w:hRule="atLeast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 w:leftChars="0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3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32 338,68814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15096,14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14823,97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kern w:val="1"/>
                <w:lang w:val="ru-RU" w:eastAsia="ar-SA" w:bidi="ar-SA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2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10 044,92814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11628,04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11333,07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2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22 293,76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3468,1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3490,9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-расчистка от снега;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грейдирование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-содержание остановок;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-ремонт дорожных знаков;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-чистка ливневой канализации;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-ремонт остановок;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-содержание светофоров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-другие работы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3 851,50166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5563,040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5268,07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54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3 851,50166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>5563,040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lang w:val="ru-RU"/>
              </w:rPr>
              <w:t>5268,07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</w:rPr>
              <w:t>35040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Ремонт дороги(переулок) ул. Кооперативная, (проулок) 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  <w:t>525,346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  <w:t>216,89587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kern w:val="1"/>
                <w:lang w:val="ru-RU" w:eastAsia="ar-SA" w:bidi="ar-SA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  <w:t>260,346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Ремонт водопропускных сооружений: пер. Кирова-Красноармейская, Кирова-Черных.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  <w:t>320,0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320,0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320,0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highlight w:val="none"/>
                <w:lang w:val="ru-RU"/>
              </w:rPr>
              <w:t>320,0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320,0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320,0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1.4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Наказы избирателей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(ремонт остановок и пешеходного моста)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  <w:t>400,0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4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  <w:b/>
              </w:rPr>
              <w:t>,00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4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  <w:b/>
              </w:rPr>
              <w:t>,00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400,0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default" w:ascii="Times New Roman" w:hAnsi="Times New Roman" w:cs="Times New Roman"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</w:rPr>
              <w:t>,00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default" w:ascii="Times New Roman" w:hAnsi="Times New Roman" w:cs="Times New Roman"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</w:rPr>
              <w:t>,00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Ямочный ремонт и асфальтирование улиц: 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highlight w:val="none"/>
                <w:lang w:val="ru-RU"/>
              </w:rPr>
              <w:t>2000,0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2500,0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2500,0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17500,0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5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2000,0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2500,0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2500,0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17500,0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Проектно — сметная и техническая документация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449,940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</w:rPr>
              <w:t>100,0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</w:rPr>
              <w:t>100,0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/>
                <w:spacing w:val="-12"/>
              </w:rPr>
              <w:t>00,0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449,940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100,0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100,0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pacing w:val="-12"/>
              </w:rPr>
              <w:t>00,0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1.7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Ремонт тротуаров: ул. Карла-Либкнехта, Кооперативная, Черных, Нагорная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354,69574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540,0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540,0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354,69574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540,0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540,0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Ремонт проезжей части ул.Гайдара (от д.1 до д.9), ул. Изергина (от д.77 до д.81.), ул. Революционная, ул. Свердлова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955,0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955,0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955,0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12"/>
                <w:lang w:val="ru-RU"/>
              </w:rPr>
              <w:t>955,0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12"/>
                <w:lang w:val="ru-RU"/>
              </w:rPr>
              <w:t>955,0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pacing w:val="-1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12"/>
                <w:lang w:val="ru-RU"/>
              </w:rPr>
              <w:t>955,0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Ремонт дорог ул. Мира, Кондакова, Карла-Маркса, Кирова, Советская, офицера Смехова., Нагорная.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19 023,238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190,238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3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областной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18 833,0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7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Мероприятия по безопасности дорожного движения: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установка, замена дорожных знаков;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-ремонт дорожных ограждений;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-нанесение дорожной разметки;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-мероприятия по БДД;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-установка светофора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-установка пешеходных ограждений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-ремонт остановок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1 168,28833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1185,0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1185,0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</w:rPr>
              <w:t>4920,0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местный бюджет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271,3032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15,705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203,60588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296,39412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381,28013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100</w:t>
            </w:r>
            <w:r>
              <w:rPr>
                <w:rFonts w:hint="default" w:ascii="Times New Roman" w:hAnsi="Times New Roman" w:cs="Times New Roman"/>
                <w:spacing w:val="-12"/>
              </w:rPr>
              <w:t>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50,0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50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pacing w:val="-12"/>
              </w:rPr>
              <w:t>5,0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1500,0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100</w:t>
            </w:r>
            <w:r>
              <w:rPr>
                <w:rFonts w:hint="default" w:ascii="Times New Roman" w:hAnsi="Times New Roman" w:cs="Times New Roman"/>
                <w:spacing w:val="-12"/>
              </w:rPr>
              <w:t>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50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pacing w:val="-12"/>
              </w:rPr>
              <w:t>5,0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pacing w:val="-12"/>
              </w:rPr>
              <w:t>00,0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70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350</w:t>
            </w:r>
            <w:r>
              <w:rPr>
                <w:rFonts w:hint="default" w:ascii="Times New Roman" w:hAnsi="Times New Roman" w:cs="Times New Roman"/>
                <w:spacing w:val="-12"/>
              </w:rPr>
              <w:t>0,0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24</w:t>
            </w:r>
            <w:r>
              <w:rPr>
                <w:rFonts w:hint="default" w:ascii="Times New Roman" w:hAnsi="Times New Roman" w:cs="Times New Roman"/>
                <w:spacing w:val="-12"/>
              </w:rPr>
              <w:t>5,0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spacing w:val="-12"/>
              </w:rPr>
              <w:t>00,0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Комфортная городская среда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Спортивная площадка в районе магазина «Антей»,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благоустройство дворовой территории ул. Свердлова 79а,благоустройство общественной территории проезд от ул. О.Кошевого до ул. Энергетиков, благоустройство общественной территории обустройство спортивной площадке на ул. Молодежная, благоустройство парка им Л.А.Поляковой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3145,69754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3568,1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3590,9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3093,623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3468,1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3490,9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31,24945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внебюджет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20,82509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70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Народный бюджет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Благоустройство территории у ТЦ «Надежда» (парк семейного отдыха), благоустройство спортивной площадки на ул. Солнечной, обустройство детской игровой площадки ул. Заводская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всего в том числе: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193,085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12"/>
                <w:lang w:val="ru-RU"/>
              </w:rPr>
              <w:t>500,0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12"/>
                <w:lang w:val="ru-RU"/>
              </w:rPr>
              <w:t>500,0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6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областной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106,791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0" w:hRule="atLeast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местный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86,294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500,0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500,0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leftChars="0" w:right="-12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  <w:kern w:val="1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pacing w:val="-12"/>
                <w:lang w:val="ru-RU"/>
              </w:rPr>
              <w:t>0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after="0" w:line="240" w:lineRule="auto"/>
              <w:ind w:left="-62" w:right="-120"/>
              <w:jc w:val="center"/>
              <w:textAlignment w:val="auto"/>
              <w:rPr>
                <w:rFonts w:hint="default" w:ascii="Times New Roman" w:hAnsi="Times New Roman" w:cs="Times New Roman"/>
                <w:spacing w:val="-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</w:rPr>
      </w:pPr>
    </w:p>
    <w:p>
      <w:pPr>
        <w:keepNext w:val="0"/>
        <w:keepLines w:val="0"/>
        <w:pageBreakBefore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kinsoku/>
        <w:wordWrap/>
        <w:overflowPunct/>
        <w:topLinePunct w:val="0"/>
        <w:autoSpaceDN/>
        <w:bidi w:val="0"/>
        <w:adjustRightInd/>
        <w:spacing w:after="0" w:line="240" w:lineRule="auto"/>
        <w:ind w:right="-1438" w:rightChars="-685"/>
        <w:jc w:val="center"/>
        <w:textAlignment w:val="auto"/>
        <w:rPr>
          <w:rFonts w:hint="default" w:ascii="Times New Roman" w:hAnsi="Times New Roman" w:eastAsia="Times New Roman" w:cs="Times New Roman"/>
          <w:b/>
          <w:sz w:val="20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0"/>
          <w:lang w:val="ru-RU"/>
        </w:rPr>
        <w:t>_____________</w:t>
      </w:r>
    </w:p>
    <w:sectPr>
      <w:pgSz w:w="16838" w:h="11906" w:orient="landscape"/>
      <w:pgMar w:top="514" w:right="706" w:bottom="850" w:left="850" w:header="720" w:footer="720" w:gutter="0"/>
      <w:cols w:equalWidth="0" w:num="1">
        <w:col w:w="8809"/>
      </w:cols>
      <w:docGrid w:type="lines" w:linePitch="32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55A78"/>
    <w:multiLevelType w:val="singleLevel"/>
    <w:tmpl w:val="9EC55A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E58AED"/>
    <w:multiLevelType w:val="singleLevel"/>
    <w:tmpl w:val="21E58AE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05"/>
  <w:drawingGridVerticalSpacing w:val="16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CD"/>
    <w:rsid w:val="00131733"/>
    <w:rsid w:val="00C747CD"/>
    <w:rsid w:val="01DC411B"/>
    <w:rsid w:val="02100986"/>
    <w:rsid w:val="024A69C7"/>
    <w:rsid w:val="03271013"/>
    <w:rsid w:val="032B1632"/>
    <w:rsid w:val="03AB5353"/>
    <w:rsid w:val="0AB810B8"/>
    <w:rsid w:val="0ABA1589"/>
    <w:rsid w:val="0B383B58"/>
    <w:rsid w:val="10943A9C"/>
    <w:rsid w:val="10B9671C"/>
    <w:rsid w:val="115A7C32"/>
    <w:rsid w:val="1534175D"/>
    <w:rsid w:val="164D7094"/>
    <w:rsid w:val="1891608E"/>
    <w:rsid w:val="1A95001A"/>
    <w:rsid w:val="1BC42C44"/>
    <w:rsid w:val="1D044DD1"/>
    <w:rsid w:val="1F0C4409"/>
    <w:rsid w:val="1FC67B6A"/>
    <w:rsid w:val="20656617"/>
    <w:rsid w:val="22D81FF9"/>
    <w:rsid w:val="24F37D15"/>
    <w:rsid w:val="28814D17"/>
    <w:rsid w:val="2D4318B1"/>
    <w:rsid w:val="35BD5197"/>
    <w:rsid w:val="377D707A"/>
    <w:rsid w:val="3883059B"/>
    <w:rsid w:val="3B844430"/>
    <w:rsid w:val="3BD27190"/>
    <w:rsid w:val="3CA60638"/>
    <w:rsid w:val="3CEE03D6"/>
    <w:rsid w:val="3E8B15D3"/>
    <w:rsid w:val="456345FB"/>
    <w:rsid w:val="46C8208E"/>
    <w:rsid w:val="47B150C0"/>
    <w:rsid w:val="4EE62C70"/>
    <w:rsid w:val="50BC6A2B"/>
    <w:rsid w:val="5178198F"/>
    <w:rsid w:val="531250C9"/>
    <w:rsid w:val="54216E79"/>
    <w:rsid w:val="54F14810"/>
    <w:rsid w:val="554F6321"/>
    <w:rsid w:val="564B13DC"/>
    <w:rsid w:val="57BB5B0A"/>
    <w:rsid w:val="5F372291"/>
    <w:rsid w:val="5F384770"/>
    <w:rsid w:val="603D11FD"/>
    <w:rsid w:val="641E7700"/>
    <w:rsid w:val="645E352F"/>
    <w:rsid w:val="65BA1B27"/>
    <w:rsid w:val="65C44DFB"/>
    <w:rsid w:val="67C15848"/>
    <w:rsid w:val="68656C76"/>
    <w:rsid w:val="687870D2"/>
    <w:rsid w:val="698960EA"/>
    <w:rsid w:val="726F47BC"/>
    <w:rsid w:val="75B95155"/>
    <w:rsid w:val="78E46D58"/>
    <w:rsid w:val="793F66C7"/>
    <w:rsid w:val="7AF370E7"/>
    <w:rsid w:val="7D7857EC"/>
    <w:rsid w:val="7DB0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after="360"/>
      <w:ind w:left="142"/>
      <w:jc w:val="center"/>
      <w:outlineLvl w:val="1"/>
    </w:pPr>
    <w:rPr>
      <w:b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 3"/>
    <w:basedOn w:val="1"/>
    <w:semiHidden/>
    <w:qFormat/>
    <w:uiPriority w:val="0"/>
    <w:pPr>
      <w:ind w:firstLine="708"/>
      <w:jc w:val="both"/>
    </w:pPr>
    <w:rPr>
      <w:sz w:val="28"/>
    </w:rPr>
  </w:style>
  <w:style w:type="paragraph" w:styleId="7">
    <w:name w:val="Body Text"/>
    <w:basedOn w:val="1"/>
    <w:qFormat/>
    <w:uiPriority w:val="0"/>
    <w:pPr>
      <w:suppressAutoHyphens/>
    </w:pPr>
    <w:rPr>
      <w:sz w:val="28"/>
    </w:rPr>
  </w:style>
  <w:style w:type="paragraph" w:styleId="8">
    <w:name w:val="List"/>
    <w:basedOn w:val="7"/>
    <w:qFormat/>
    <w:uiPriority w:val="0"/>
    <w:pPr>
      <w:suppressAutoHyphens/>
    </w:pPr>
    <w:rPr>
      <w:rFonts w:cs="Mangal"/>
    </w:rPr>
  </w:style>
  <w:style w:type="paragraph" w:styleId="9">
    <w:name w:val="Normal (Web)"/>
    <w:basedOn w:val="1"/>
    <w:semiHidden/>
    <w:qFormat/>
    <w:uiPriority w:val="0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lang w:eastAsia="ru-RU"/>
    </w:rPr>
  </w:style>
  <w:style w:type="table" w:styleId="10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Основной шрифт абзаца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4477</Words>
  <Characters>25523</Characters>
  <Lines>212</Lines>
  <Paragraphs>59</Paragraphs>
  <TotalTime>45</TotalTime>
  <ScaleCrop>false</ScaleCrop>
  <LinksUpToDate>false</LinksUpToDate>
  <CharactersWithSpaces>29941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2019-10-07T09:33:00Z</dcterms:created>
  <dc:creator>User</dc:creator>
  <cp:lastModifiedBy>UserXX</cp:lastModifiedBy>
  <cp:lastPrinted>2021-10-08T04:48:00Z</cp:lastPrinted>
  <dcterms:modified xsi:type="dcterms:W3CDTF">2021-10-08T08:40:27Z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643E0D2BC7F744F7B2DCB327F0D7A5EE</vt:lpwstr>
  </property>
</Properties>
</file>