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943337">
        <w:rPr>
          <w:sz w:val="28"/>
          <w:szCs w:val="28"/>
          <w:lang w:eastAsia="ar-SA"/>
        </w:rPr>
        <w:t>«Предоставление  разрешения   на осуществление  земляных  работ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>ый постановлением админист</w:t>
      </w:r>
      <w:r w:rsidR="00943337">
        <w:rPr>
          <w:sz w:val="28"/>
          <w:szCs w:val="28"/>
          <w:lang w:eastAsia="ar-SA"/>
        </w:rPr>
        <w:t>-</w:t>
      </w:r>
      <w:r w:rsidR="00842741">
        <w:rPr>
          <w:sz w:val="28"/>
          <w:szCs w:val="28"/>
          <w:lang w:eastAsia="ar-SA"/>
        </w:rPr>
        <w:t xml:space="preserve">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43337">
        <w:rPr>
          <w:sz w:val="28"/>
          <w:szCs w:val="28"/>
          <w:lang w:eastAsia="ar-SA"/>
        </w:rPr>
        <w:t>11.10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943337">
        <w:rPr>
          <w:sz w:val="28"/>
          <w:szCs w:val="28"/>
          <w:lang w:eastAsia="ar-SA"/>
        </w:rPr>
        <w:t>50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943337" w:rsidRPr="00943337">
        <w:rPr>
          <w:sz w:val="28"/>
          <w:szCs w:val="28"/>
        </w:rPr>
        <w:t>«Предоставление  разрешения   на осуществление  земляных  работ</w:t>
      </w:r>
      <w:r w:rsidR="00943337" w:rsidRPr="00943337">
        <w:rPr>
          <w:sz w:val="28"/>
          <w:szCs w:val="28"/>
          <w:lang w:val="x-none"/>
        </w:rPr>
        <w:t>»</w:t>
      </w:r>
      <w:r w:rsidR="00943337" w:rsidRPr="00943337">
        <w:rPr>
          <w:sz w:val="28"/>
          <w:szCs w:val="28"/>
        </w:rPr>
        <w:t>, утвержденный постановлением админист</w:t>
      </w:r>
      <w:bookmarkStart w:id="0" w:name="_GoBack"/>
      <w:bookmarkEnd w:id="0"/>
      <w:r w:rsidR="00943337" w:rsidRPr="00943337">
        <w:rPr>
          <w:sz w:val="28"/>
          <w:szCs w:val="28"/>
        </w:rPr>
        <w:t>рации  Скорорыбского  сельского поселения Подгоренского муниципального района Воронежской области от 11.10.2016 № 50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 xml:space="preserve"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bCs/>
          <w:sz w:val="28"/>
          <w:szCs w:val="28"/>
        </w:rPr>
        <w:lastRenderedPageBreak/>
        <w:t>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46" w:rsidRDefault="00113846" w:rsidP="00991A32">
      <w:r>
        <w:separator/>
      </w:r>
    </w:p>
  </w:endnote>
  <w:endnote w:type="continuationSeparator" w:id="0">
    <w:p w:rsidR="00113846" w:rsidRDefault="0011384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46" w:rsidRDefault="00113846" w:rsidP="00991A32">
      <w:r>
        <w:separator/>
      </w:r>
    </w:p>
  </w:footnote>
  <w:footnote w:type="continuationSeparator" w:id="0">
    <w:p w:rsidR="00113846" w:rsidRDefault="0011384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13846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43337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452D-B2A8-402B-842F-952FF79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2022-12-01T13:07:00Z</dcterms:modified>
</cp:coreProperties>
</file>