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ВОРОНЕЖСКОЙ ОБЛАСТИ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bCs/>
          <w:sz w:val="24"/>
          <w:szCs w:val="24"/>
        </w:rPr>
        <w:t>ПОСТАНОВЛЕНИЕ</w:t>
      </w:r>
    </w:p>
    <w:p w:rsidR="00F547DE" w:rsidRPr="0041152B" w:rsidRDefault="00F547DE" w:rsidP="0041152B">
      <w:pPr>
        <w:pStyle w:val="a3"/>
        <w:rPr>
          <w:rFonts w:ascii="Arial" w:hAnsi="Arial" w:cs="Arial"/>
          <w:sz w:val="24"/>
          <w:szCs w:val="24"/>
        </w:rPr>
      </w:pPr>
    </w:p>
    <w:p w:rsidR="00F547DE" w:rsidRPr="0041152B" w:rsidRDefault="005B383F" w:rsidP="004115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02B60">
        <w:rPr>
          <w:rFonts w:ascii="Arial" w:hAnsi="Arial" w:cs="Arial"/>
          <w:sz w:val="24"/>
          <w:szCs w:val="24"/>
        </w:rPr>
        <w:t>.12.2022</w:t>
      </w:r>
      <w:r w:rsidR="00F547DE" w:rsidRPr="0041152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80</w:t>
      </w:r>
    </w:p>
    <w:p w:rsidR="00F547DE" w:rsidRPr="0041152B" w:rsidRDefault="00F547DE" w:rsidP="00302B60">
      <w:pPr>
        <w:pStyle w:val="a3"/>
        <w:ind w:right="2834"/>
        <w:jc w:val="both"/>
        <w:rPr>
          <w:rFonts w:ascii="Arial" w:hAnsi="Arial" w:cs="Arial"/>
          <w:sz w:val="24"/>
          <w:szCs w:val="24"/>
        </w:rPr>
      </w:pPr>
      <w:proofErr w:type="gramStart"/>
      <w:r w:rsidRPr="0041152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Гниловского сельского поселения от </w:t>
      </w:r>
      <w:r w:rsidR="00B41326" w:rsidRPr="0052216F">
        <w:rPr>
          <w:rFonts w:ascii="Arial" w:hAnsi="Arial" w:cs="Arial"/>
          <w:sz w:val="24"/>
          <w:szCs w:val="24"/>
        </w:rPr>
        <w:t>01.07.2021 года № 30</w:t>
      </w:r>
      <w:r w:rsidRPr="0041152B">
        <w:rPr>
          <w:rFonts w:ascii="Arial" w:hAnsi="Arial" w:cs="Arial"/>
          <w:sz w:val="24"/>
          <w:szCs w:val="24"/>
        </w:rPr>
        <w:t xml:space="preserve"> «</w:t>
      </w:r>
      <w:r w:rsidR="006B3344" w:rsidRPr="0041152B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Гниловского сельского поселения по предоставлению муниципальной услуги «</w:t>
      </w:r>
      <w:r w:rsidR="003A70B1" w:rsidRPr="0052216F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6B3344" w:rsidRPr="0041152B">
        <w:rPr>
          <w:rFonts w:ascii="Arial" w:hAnsi="Arial" w:cs="Arial"/>
          <w:sz w:val="24"/>
          <w:szCs w:val="24"/>
        </w:rPr>
        <w:t>»</w:t>
      </w:r>
      <w:r w:rsidR="00E67670" w:rsidRPr="0041152B">
        <w:rPr>
          <w:rFonts w:ascii="Arial" w:hAnsi="Arial" w:cs="Arial"/>
          <w:sz w:val="24"/>
          <w:szCs w:val="24"/>
        </w:rPr>
        <w:t>»</w:t>
      </w:r>
      <w:r w:rsidR="009C75CD" w:rsidRPr="0041152B">
        <w:rPr>
          <w:rFonts w:ascii="Arial" w:hAnsi="Arial" w:cs="Arial"/>
          <w:sz w:val="24"/>
          <w:szCs w:val="24"/>
        </w:rPr>
        <w:t xml:space="preserve"> (</w:t>
      </w:r>
      <w:r w:rsidR="009C75CD" w:rsidRPr="0041152B">
        <w:rPr>
          <w:rFonts w:ascii="Arial" w:hAnsi="Arial" w:cs="Arial"/>
          <w:bCs/>
          <w:sz w:val="24"/>
          <w:szCs w:val="24"/>
        </w:rPr>
        <w:t>в редакци</w:t>
      </w:r>
      <w:r w:rsidR="00302B60">
        <w:rPr>
          <w:rFonts w:ascii="Arial" w:hAnsi="Arial" w:cs="Arial"/>
          <w:bCs/>
          <w:sz w:val="24"/>
          <w:szCs w:val="24"/>
        </w:rPr>
        <w:t xml:space="preserve">и постановлений </w:t>
      </w:r>
      <w:r w:rsidR="00B41326">
        <w:rPr>
          <w:rFonts w:ascii="Arial" w:hAnsi="Arial" w:cs="Arial"/>
          <w:sz w:val="24"/>
          <w:szCs w:val="24"/>
        </w:rPr>
        <w:t>от 21.02.2022 года № 17, от 01.11.2022 года № 63</w:t>
      </w:r>
      <w:r w:rsidR="009C75CD" w:rsidRPr="0041152B">
        <w:rPr>
          <w:rFonts w:ascii="Arial" w:hAnsi="Arial" w:cs="Arial"/>
          <w:sz w:val="24"/>
          <w:szCs w:val="24"/>
        </w:rPr>
        <w:t>)</w:t>
      </w:r>
      <w:proofErr w:type="gramEnd"/>
    </w:p>
    <w:p w:rsidR="00F547DE" w:rsidRPr="0041152B" w:rsidRDefault="00F547DE" w:rsidP="00411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7DE" w:rsidRPr="0041152B" w:rsidRDefault="009C75CD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</w:rPr>
        <w:t>В</w:t>
      </w:r>
      <w:r w:rsidR="00F547DE" w:rsidRPr="0041152B">
        <w:rPr>
          <w:rFonts w:ascii="Arial" w:hAnsi="Arial" w:cs="Arial"/>
          <w:sz w:val="24"/>
          <w:szCs w:val="24"/>
          <w:lang w:eastAsia="ru-RU"/>
        </w:rPr>
        <w:t xml:space="preserve"> соответствии с Федеральным законом от</w:t>
      </w:r>
      <w:r w:rsidR="00F547DE" w:rsidRPr="0041152B">
        <w:rPr>
          <w:rFonts w:ascii="Arial" w:eastAsia="Times New Roman" w:hAnsi="Arial" w:cs="Arial"/>
          <w:sz w:val="24"/>
          <w:szCs w:val="24"/>
          <w:lang w:eastAsia="ru-RU"/>
        </w:rPr>
        <w:t xml:space="preserve"> 06.10.2003 № 131-ФЗ "Об общих принципах организации местного самоуправления в Российской Федерации", </w:t>
      </w:r>
      <w:r w:rsidR="00F547DE" w:rsidRPr="0041152B">
        <w:rPr>
          <w:rFonts w:ascii="Arial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E375A8" w:rsidRPr="00411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F71" w:rsidRPr="00BF5FF2">
        <w:rPr>
          <w:rFonts w:ascii="Arial" w:hAnsi="Arial" w:cs="Arial"/>
          <w:sz w:val="24"/>
          <w:szCs w:val="24"/>
        </w:rPr>
        <w:t>в целях приведения нормативно-правового акта администрации Гниловского сельского поселения  в соответствие с действующим законодательством,</w:t>
      </w:r>
      <w:r w:rsidR="00B40F71" w:rsidRPr="00BF5FF2">
        <w:rPr>
          <w:rFonts w:ascii="Arial" w:hAnsi="Arial" w:cs="Arial"/>
          <w:sz w:val="24"/>
          <w:szCs w:val="24"/>
          <w:lang w:eastAsia="ru-RU"/>
        </w:rPr>
        <w:t xml:space="preserve"> администрация Гниловского сельского поселения</w:t>
      </w:r>
    </w:p>
    <w:p w:rsidR="00F547DE" w:rsidRPr="0041152B" w:rsidRDefault="00F547DE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3706" w:rsidRDefault="00F547DE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1.</w:t>
      </w:r>
      <w:r w:rsidR="00315235" w:rsidRPr="004115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152B">
        <w:rPr>
          <w:rFonts w:ascii="Arial" w:hAnsi="Arial" w:cs="Arial"/>
          <w:sz w:val="24"/>
          <w:szCs w:val="24"/>
        </w:rPr>
        <w:t xml:space="preserve">Внести в постановление администрации Гниловского сельского поселения от </w:t>
      </w:r>
      <w:r w:rsidR="00B41326" w:rsidRPr="0052216F">
        <w:rPr>
          <w:rFonts w:ascii="Arial" w:hAnsi="Arial" w:cs="Arial"/>
          <w:sz w:val="24"/>
          <w:szCs w:val="24"/>
        </w:rPr>
        <w:t>01.07.2021 года № 30</w:t>
      </w:r>
      <w:r w:rsidR="00B41326" w:rsidRPr="0041152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Гниловского сельского поселения по предоставлению муниципальной услуги «</w:t>
      </w:r>
      <w:r w:rsidR="00B41326" w:rsidRPr="0052216F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41326" w:rsidRPr="0041152B">
        <w:rPr>
          <w:rFonts w:ascii="Arial" w:hAnsi="Arial" w:cs="Arial"/>
          <w:sz w:val="24"/>
          <w:szCs w:val="24"/>
        </w:rPr>
        <w:t>»» (</w:t>
      </w:r>
      <w:r w:rsidR="00B41326" w:rsidRPr="0041152B">
        <w:rPr>
          <w:rFonts w:ascii="Arial" w:hAnsi="Arial" w:cs="Arial"/>
          <w:bCs/>
          <w:sz w:val="24"/>
          <w:szCs w:val="24"/>
        </w:rPr>
        <w:t>в редакци</w:t>
      </w:r>
      <w:r w:rsidR="00B41326">
        <w:rPr>
          <w:rFonts w:ascii="Arial" w:hAnsi="Arial" w:cs="Arial"/>
          <w:bCs/>
          <w:sz w:val="24"/>
          <w:szCs w:val="24"/>
        </w:rPr>
        <w:t xml:space="preserve">и постановлений </w:t>
      </w:r>
      <w:r w:rsidR="00B41326">
        <w:rPr>
          <w:rFonts w:ascii="Arial" w:hAnsi="Arial" w:cs="Arial"/>
          <w:sz w:val="24"/>
          <w:szCs w:val="24"/>
        </w:rPr>
        <w:t>от 21.02.2022 года № 17, от 01.11.2022 года № 63</w:t>
      </w:r>
      <w:r w:rsidR="00B41326" w:rsidRPr="0041152B">
        <w:rPr>
          <w:rFonts w:ascii="Arial" w:hAnsi="Arial" w:cs="Arial"/>
          <w:sz w:val="24"/>
          <w:szCs w:val="24"/>
        </w:rPr>
        <w:t>)</w:t>
      </w:r>
      <w:r w:rsidR="009C75CD" w:rsidRPr="0041152B">
        <w:rPr>
          <w:rFonts w:ascii="Arial" w:hAnsi="Arial" w:cs="Arial"/>
          <w:sz w:val="24"/>
          <w:szCs w:val="24"/>
        </w:rPr>
        <w:t xml:space="preserve"> </w:t>
      </w:r>
      <w:r w:rsidR="009B3706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522224" w:rsidRDefault="009B3706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22224">
        <w:rPr>
          <w:rFonts w:ascii="Arial" w:hAnsi="Arial" w:cs="Arial"/>
          <w:sz w:val="24"/>
          <w:szCs w:val="24"/>
        </w:rPr>
        <w:t>В разделе 2 Административного регламента</w:t>
      </w:r>
      <w:r w:rsidR="00522224">
        <w:rPr>
          <w:rFonts w:ascii="Arial" w:hAnsi="Arial" w:cs="Arial"/>
          <w:sz w:val="24"/>
          <w:szCs w:val="24"/>
        </w:rPr>
        <w:t>:</w:t>
      </w:r>
    </w:p>
    <w:p w:rsidR="00522224" w:rsidRDefault="00522224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 xml:space="preserve">пункты 2.4.2 – 2.4.6 </w:t>
      </w:r>
      <w:r>
        <w:rPr>
          <w:rFonts w:ascii="Arial" w:hAnsi="Arial" w:cs="Arial"/>
          <w:sz w:val="24"/>
          <w:szCs w:val="24"/>
        </w:rPr>
        <w:t>исключить;</w:t>
      </w:r>
    </w:p>
    <w:p w:rsidR="00522224" w:rsidRDefault="00522224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Pr="0052216F">
        <w:rPr>
          <w:rFonts w:ascii="Arial" w:hAnsi="Arial" w:cs="Arial"/>
          <w:sz w:val="24"/>
          <w:szCs w:val="24"/>
        </w:rPr>
        <w:t>пункт 2.6.1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80C70" w:rsidRPr="0052216F" w:rsidRDefault="00522224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«2.6.1.</w:t>
      </w:r>
      <w:r w:rsidR="00F80C70" w:rsidRPr="00F80C70">
        <w:rPr>
          <w:rFonts w:ascii="Arial" w:hAnsi="Arial" w:cs="Arial"/>
          <w:sz w:val="24"/>
          <w:szCs w:val="24"/>
        </w:rPr>
        <w:t xml:space="preserve"> </w:t>
      </w:r>
      <w:r w:rsidR="00F80C70" w:rsidRPr="0052216F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1) заявление о предоставлении земельного участка без проведения торгов.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В заявлении о предоставлении земельного участка без проведения торгов указываются: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52216F">
        <w:rPr>
          <w:rFonts w:ascii="Arial" w:hAnsi="Arial" w:cs="Arial"/>
          <w:sz w:val="24"/>
          <w:szCs w:val="24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кадастровый номер испрашиваемого земельного участка;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реквизиты решения об изъятии земельного участка для муниципальных ну</w:t>
      </w:r>
      <w:proofErr w:type="gramStart"/>
      <w:r w:rsidRPr="0052216F">
        <w:rPr>
          <w:rFonts w:ascii="Arial" w:hAnsi="Arial" w:cs="Arial"/>
          <w:sz w:val="24"/>
          <w:szCs w:val="24"/>
        </w:rPr>
        <w:t>жд в сл</w:t>
      </w:r>
      <w:proofErr w:type="gramEnd"/>
      <w:r w:rsidRPr="0052216F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цель использования земельного участка;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Заявление на бумажном носителе представляется: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посредством почтового отправления;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при личном обращении заявителя либо его законного представителя.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216F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администрации.</w:t>
      </w:r>
      <w:proofErr w:type="gramEnd"/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в виде бумажного документа, который направляется заявителю посредством почтового отправления;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в виде электронного документа, который направляется заявителю посредством электронной почты.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lastRenderedPageBreak/>
        <w:t>- электронной подписью заявителя (представителя заявителя);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F80C70" w:rsidRPr="0052216F" w:rsidRDefault="00F80C70" w:rsidP="00F80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6F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заявлением о предоставлении земельного участка без проведения торгов обращается представитель заявителя;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</w:t>
      </w:r>
      <w:proofErr w:type="gramStart"/>
      <w:r w:rsidRPr="000B425C">
        <w:rPr>
          <w:rFonts w:ascii="Arial" w:hAnsi="Arial" w:cs="Arial"/>
          <w:sz w:val="24"/>
          <w:szCs w:val="24"/>
        </w:rPr>
        <w:t>также</w:t>
      </w:r>
      <w:proofErr w:type="gramEnd"/>
      <w:r w:rsidRPr="000B425C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2224" w:rsidRPr="00F35C1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C1C">
        <w:rPr>
          <w:rFonts w:ascii="Arial" w:hAnsi="Arial" w:cs="Arial"/>
          <w:sz w:val="24"/>
          <w:szCs w:val="24"/>
        </w:rPr>
        <w:t xml:space="preserve">4) </w:t>
      </w:r>
      <w:r w:rsidR="00F35C1C" w:rsidRPr="00F35C1C">
        <w:rPr>
          <w:rFonts w:ascii="Arial" w:hAnsi="Arial" w:cs="Arial"/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</w:t>
      </w:r>
      <w:r w:rsidR="00F35C1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3 пункта 2 статьи 39.3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(устанавливающие) права заявителя на испрашиваемый земельный участок, если право на такой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Едином государственном реестре недвижимости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б) документ, подтверждающий членство заявителя в некоммерческой организации;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решение органа некоммерческой организации о распределении земельного участка заявителю;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6 пункта 2 статьи 39.3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Едином государственном реестре недвижимости</w:t>
      </w:r>
      <w:r w:rsidRPr="000B425C">
        <w:rPr>
          <w:rFonts w:ascii="Arial" w:hAnsi="Arial" w:cs="Arial"/>
          <w:sz w:val="24"/>
          <w:szCs w:val="24"/>
        </w:rPr>
        <w:t xml:space="preserve"> (далее –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);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lastRenderedPageBreak/>
        <w:t xml:space="preserve"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7 пункта 2 статьи 39.3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9 пункта 2 статьи 39.3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использование земельного участка в соответствии с Федеральным законом от 24 июля 2002 г. №101-ФЗ "Об обороте земель сельскохозяйственного назначения";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10 пункта 2 статьи 39.3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2 статьи 39.5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3 статьи 39.5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решение органа некоммерческой организации о приобретении земельного участка;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6 статьи 39.5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7 статьи 39.5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8 статьи 39.5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4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договор, соглашение или иной документ, предусматривающий выполнение международных обязательств;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б) для обеспечения электро-, тепл</w:t>
      </w:r>
      <w:proofErr w:type="gramStart"/>
      <w:r w:rsidRPr="000B425C">
        <w:rPr>
          <w:rFonts w:ascii="Arial" w:hAnsi="Arial" w:cs="Arial"/>
          <w:sz w:val="24"/>
          <w:szCs w:val="24"/>
        </w:rPr>
        <w:t>о-</w:t>
      </w:r>
      <w:proofErr w:type="gramEnd"/>
      <w:r w:rsidRPr="000B425C">
        <w:rPr>
          <w:rFonts w:ascii="Arial" w:hAnsi="Arial" w:cs="Arial"/>
          <w:sz w:val="24"/>
          <w:szCs w:val="24"/>
        </w:rPr>
        <w:t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5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решение, на основании которого образован испрашиваемый земельный участок, принятое до 1 марта 2015;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lastRenderedPageBreak/>
        <w:t>б) при подаче заявления о предоставлении земельного участка, находящегося в муниципальной собственности, предоставленного для комплексного развития территории лицу, с которым был заключен договор аренды такого земельного участка: договор о комплексном развитии территории;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7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решение уполномоченного органа о предоставлении земельного участка некоммерческой организации для садоводства, огородничества, за исключением случаев, если такое право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б) документ, подтверждающий членство заявителя в некоммерческой организации;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решение органа некоммерческой организации о распределении земельного участка заявителю;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8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б) решение органа некоммерческой организации о приобретении земельного участка;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9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б) документы, удостоверяющие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10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б) документы, удостоверяющие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11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13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договор о комплексном развитии территории;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 14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15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16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соглашение об изъятии земельного участка для муниципальных нужд или </w:t>
      </w:r>
      <w:r w:rsidRPr="000B425C">
        <w:rPr>
          <w:rFonts w:ascii="Arial" w:hAnsi="Arial" w:cs="Arial"/>
          <w:sz w:val="24"/>
          <w:szCs w:val="24"/>
        </w:rPr>
        <w:lastRenderedPageBreak/>
        <w:t>решение суда, на основании которого земельный участок изъят для муниципальных нужд;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18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23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концессионное соглашение;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23.1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32 пункта 2 статьи 39.6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статьей 39.9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3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документы, удостоверяющие (устанавливающие) права заявителя на здание, сооружение,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4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а) договор безвозмездного пользования зданием, сооружением, если право на такое здание, сооружение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F80C70">
        <w:rPr>
          <w:rFonts w:ascii="Arial" w:hAnsi="Arial" w:cs="Arial"/>
          <w:sz w:val="24"/>
          <w:szCs w:val="24"/>
        </w:rPr>
        <w:t>ЕГРН</w:t>
      </w:r>
      <w:r w:rsidRPr="000B425C">
        <w:rPr>
          <w:rFonts w:ascii="Arial" w:hAnsi="Arial" w:cs="Arial"/>
          <w:sz w:val="24"/>
          <w:szCs w:val="24"/>
        </w:rPr>
        <w:t>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5 части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8 части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договор найма служебного жилого помещения;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12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15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решение Воронежской области о создании некоммерческой организации;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- подпунктом 16 пункта 2 статьи 39.10 ЗК РФ:</w:t>
      </w:r>
    </w:p>
    <w:p w:rsidR="00522224" w:rsidRPr="000B425C" w:rsidRDefault="00522224" w:rsidP="0052222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522224" w:rsidRPr="000B425C" w:rsidRDefault="00522224" w:rsidP="0052222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lastRenderedPageBreak/>
        <w:t>Предоставление указанных документов не требуется в случае, если указанные документы направлялись в администрацию Гниловского сельского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Заявление представляются в виде файлов в формате </w:t>
      </w:r>
      <w:proofErr w:type="spellStart"/>
      <w:r w:rsidRPr="000B425C">
        <w:rPr>
          <w:rFonts w:ascii="Arial" w:hAnsi="Arial" w:cs="Arial"/>
          <w:sz w:val="24"/>
          <w:szCs w:val="24"/>
        </w:rPr>
        <w:t>doc</w:t>
      </w:r>
      <w:proofErr w:type="spellEnd"/>
      <w:r w:rsidRPr="000B4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25C">
        <w:rPr>
          <w:rFonts w:ascii="Arial" w:hAnsi="Arial" w:cs="Arial"/>
          <w:sz w:val="24"/>
          <w:szCs w:val="24"/>
        </w:rPr>
        <w:t>docx</w:t>
      </w:r>
      <w:proofErr w:type="spellEnd"/>
      <w:r w:rsidRPr="000B4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25C">
        <w:rPr>
          <w:rFonts w:ascii="Arial" w:hAnsi="Arial" w:cs="Arial"/>
          <w:sz w:val="24"/>
          <w:szCs w:val="24"/>
        </w:rPr>
        <w:t>txt</w:t>
      </w:r>
      <w:proofErr w:type="spellEnd"/>
      <w:r w:rsidRPr="000B4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25C">
        <w:rPr>
          <w:rFonts w:ascii="Arial" w:hAnsi="Arial" w:cs="Arial"/>
          <w:sz w:val="24"/>
          <w:szCs w:val="24"/>
        </w:rPr>
        <w:t>xls</w:t>
      </w:r>
      <w:proofErr w:type="spellEnd"/>
      <w:r w:rsidRPr="000B4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25C">
        <w:rPr>
          <w:rFonts w:ascii="Arial" w:hAnsi="Arial" w:cs="Arial"/>
          <w:sz w:val="24"/>
          <w:szCs w:val="24"/>
        </w:rPr>
        <w:t>xlsx</w:t>
      </w:r>
      <w:proofErr w:type="spellEnd"/>
      <w:r w:rsidRPr="000B4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25C">
        <w:rPr>
          <w:rFonts w:ascii="Arial" w:hAnsi="Arial" w:cs="Arial"/>
          <w:sz w:val="24"/>
          <w:szCs w:val="24"/>
        </w:rPr>
        <w:t>rtf</w:t>
      </w:r>
      <w:proofErr w:type="spellEnd"/>
      <w:r w:rsidRPr="000B425C">
        <w:rPr>
          <w:rFonts w:ascii="Arial" w:hAnsi="Arial" w:cs="Arial"/>
          <w:sz w:val="24"/>
          <w:szCs w:val="24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522224" w:rsidRPr="000B425C" w:rsidRDefault="00522224" w:rsidP="00522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22224" w:rsidRDefault="00522224" w:rsidP="005222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proofErr w:type="gramStart"/>
      <w:r w:rsidRPr="000B42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345B0E" w:rsidRDefault="00522224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B383F">
        <w:rPr>
          <w:rFonts w:ascii="Arial" w:hAnsi="Arial" w:cs="Arial"/>
          <w:sz w:val="24"/>
          <w:szCs w:val="24"/>
        </w:rPr>
        <w:t>В абзацах 2 - 3 подпункта а) пункта 3.4.1 раздела 3 административного регламента слова «</w:t>
      </w:r>
      <w:r w:rsidR="005B383F" w:rsidRPr="000B425C">
        <w:rPr>
          <w:rFonts w:ascii="Arial" w:hAnsi="Arial" w:cs="Arial"/>
          <w:sz w:val="24"/>
          <w:szCs w:val="24"/>
        </w:rPr>
        <w:t>Единого государственного реестра прав на недвижимое имущество и сделок с ним</w:t>
      </w:r>
      <w:r w:rsidR="005B383F">
        <w:rPr>
          <w:rFonts w:ascii="Arial" w:hAnsi="Arial" w:cs="Arial"/>
          <w:sz w:val="24"/>
          <w:szCs w:val="24"/>
        </w:rPr>
        <w:t>» заменить словами «</w:t>
      </w:r>
      <w:r w:rsidR="005B383F" w:rsidRPr="000B425C">
        <w:rPr>
          <w:rFonts w:ascii="Arial" w:hAnsi="Arial" w:cs="Arial"/>
          <w:sz w:val="24"/>
          <w:szCs w:val="24"/>
        </w:rPr>
        <w:t xml:space="preserve">Единого государственного реестра </w:t>
      </w:r>
      <w:r w:rsidR="005B383F">
        <w:rPr>
          <w:rFonts w:ascii="Arial" w:hAnsi="Arial" w:cs="Arial"/>
          <w:sz w:val="24"/>
          <w:szCs w:val="24"/>
        </w:rPr>
        <w:t>недвижимости».</w:t>
      </w:r>
    </w:p>
    <w:p w:rsidR="00F547DE" w:rsidRPr="0041152B" w:rsidRDefault="000015DB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B3344" w:rsidRPr="0052216F">
        <w:rPr>
          <w:rFonts w:ascii="Arial" w:hAnsi="Arial" w:cs="Arial"/>
          <w:sz w:val="24"/>
          <w:szCs w:val="24"/>
        </w:rPr>
        <w:t xml:space="preserve">Раздел 5 Административного регламента </w:t>
      </w:r>
      <w:r w:rsidR="00152575">
        <w:rPr>
          <w:rFonts w:ascii="Arial" w:hAnsi="Arial" w:cs="Arial"/>
          <w:sz w:val="24"/>
          <w:szCs w:val="24"/>
        </w:rPr>
        <w:t xml:space="preserve">изложить </w:t>
      </w:r>
      <w:bookmarkStart w:id="0" w:name="_GoBack"/>
      <w:bookmarkEnd w:id="0"/>
      <w:r w:rsidR="006B3344" w:rsidRPr="0052216F">
        <w:rPr>
          <w:rFonts w:ascii="Arial" w:hAnsi="Arial" w:cs="Arial"/>
          <w:sz w:val="24"/>
          <w:szCs w:val="24"/>
        </w:rPr>
        <w:t>в следующей редакции: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5</w:t>
      </w:r>
      <w:r w:rsidRPr="00A073D7">
        <w:rPr>
          <w:rFonts w:ascii="Arial" w:hAnsi="Arial" w:cs="Arial"/>
          <w:bCs/>
          <w:sz w:val="24"/>
          <w:szCs w:val="24"/>
        </w:rPr>
        <w:t>. Досудебный (внесудебный) порядок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A073D7">
        <w:rPr>
          <w:rFonts w:ascii="Arial" w:hAnsi="Arial" w:cs="Arial"/>
          <w:bCs/>
          <w:i/>
          <w:sz w:val="24"/>
          <w:szCs w:val="24"/>
        </w:rPr>
        <w:t>,</w:t>
      </w:r>
      <w:r w:rsidRPr="00A073D7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A073D7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A073D7">
          <w:rPr>
            <w:rFonts w:ascii="Arial" w:hAnsi="Arial" w:cs="Arial"/>
            <w:bCs/>
            <w:sz w:val="24"/>
            <w:szCs w:val="24"/>
          </w:rPr>
          <w:t>статье 15.1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A073D7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>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49"/>
      <w:bookmarkEnd w:id="1"/>
      <w:r w:rsidRPr="00A073D7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5.10.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ее регистрации.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5.11. </w:t>
      </w:r>
      <w:r w:rsidRPr="00A073D7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</w:t>
      </w:r>
      <w:r w:rsidRPr="00A073D7">
        <w:rPr>
          <w:rFonts w:ascii="Arial" w:hAnsi="Arial" w:cs="Arial"/>
          <w:sz w:val="24"/>
          <w:szCs w:val="24"/>
        </w:rPr>
        <w:lastRenderedPageBreak/>
        <w:t>предоставления государственных услуг в Воронежской области» в отношении того же заявителя и по тому же предмету жалобы;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54"/>
      <w:bookmarkEnd w:id="2"/>
      <w:r w:rsidRPr="00A073D7">
        <w:rPr>
          <w:rFonts w:ascii="Arial" w:hAnsi="Arial" w:cs="Arial"/>
          <w:bCs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49" w:history="1">
        <w:r w:rsidRPr="00A073D7">
          <w:rPr>
            <w:rFonts w:ascii="Arial" w:hAnsi="Arial" w:cs="Arial"/>
            <w:bCs/>
            <w:sz w:val="24"/>
            <w:szCs w:val="24"/>
          </w:rPr>
          <w:t>пункте 5.9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5.15. В случае признания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A073D7">
          <w:rPr>
            <w:rFonts w:ascii="Arial" w:hAnsi="Arial" w:cs="Arial"/>
            <w:bCs/>
            <w:sz w:val="24"/>
            <w:szCs w:val="24"/>
          </w:rPr>
          <w:t>пункте 5.13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hAnsi="Arial" w:cs="Arial"/>
          <w:bCs/>
          <w:sz w:val="24"/>
          <w:szCs w:val="24"/>
        </w:rPr>
        <w:t>».</w:t>
      </w:r>
    </w:p>
    <w:p w:rsidR="00B40F71" w:rsidRPr="00BF5FF2" w:rsidRDefault="00B40F71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FF2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F5FF2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EB16A0">
        <w:rPr>
          <w:rFonts w:ascii="Arial" w:hAnsi="Arial" w:cs="Arial"/>
          <w:sz w:val="24"/>
          <w:szCs w:val="24"/>
        </w:rPr>
        <w:t xml:space="preserve">его </w:t>
      </w:r>
      <w:r w:rsidRPr="00BF5FF2">
        <w:rPr>
          <w:rFonts w:ascii="Arial" w:hAnsi="Arial" w:cs="Arial"/>
          <w:sz w:val="24"/>
          <w:szCs w:val="24"/>
        </w:rPr>
        <w:t>обнародования</w:t>
      </w:r>
      <w:r w:rsidRPr="00BF7285">
        <w:rPr>
          <w:rFonts w:ascii="Arial" w:hAnsi="Arial" w:cs="Arial"/>
          <w:sz w:val="24"/>
          <w:szCs w:val="24"/>
        </w:rPr>
        <w:t>.</w:t>
      </w:r>
    </w:p>
    <w:p w:rsidR="00B40F71" w:rsidRPr="003D5699" w:rsidRDefault="00B40F71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69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3D569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D569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40F71" w:rsidRPr="003D5699" w:rsidRDefault="00B40F71" w:rsidP="00B40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5DB" w:rsidRPr="00127165" w:rsidRDefault="00B40F71" w:rsidP="001271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69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  <w:t>А.И.Журавлев</w:t>
      </w:r>
    </w:p>
    <w:sectPr w:rsidR="00A845DB" w:rsidRPr="00127165" w:rsidSect="00302B6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370AA5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370AA5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3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5"/>
  </w:num>
  <w:num w:numId="5">
    <w:abstractNumId w:val="22"/>
  </w:num>
  <w:num w:numId="6">
    <w:abstractNumId w:val="0"/>
  </w:num>
  <w:num w:numId="7">
    <w:abstractNumId w:val="13"/>
  </w:num>
  <w:num w:numId="8">
    <w:abstractNumId w:val="35"/>
  </w:num>
  <w:num w:numId="9">
    <w:abstractNumId w:val="33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31"/>
  </w:num>
  <w:num w:numId="16">
    <w:abstractNumId w:val="32"/>
  </w:num>
  <w:num w:numId="17">
    <w:abstractNumId w:val="34"/>
  </w:num>
  <w:num w:numId="18">
    <w:abstractNumId w:val="23"/>
  </w:num>
  <w:num w:numId="19">
    <w:abstractNumId w:val="12"/>
  </w:num>
  <w:num w:numId="20">
    <w:abstractNumId w:val="6"/>
  </w:num>
  <w:num w:numId="21">
    <w:abstractNumId w:val="29"/>
  </w:num>
  <w:num w:numId="22">
    <w:abstractNumId w:val="17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5"/>
  </w:num>
  <w:num w:numId="37">
    <w:abstractNumId w:val="38"/>
  </w:num>
  <w:num w:numId="38">
    <w:abstractNumId w:val="18"/>
  </w:num>
  <w:num w:numId="39">
    <w:abstractNumId w:val="7"/>
  </w:num>
  <w:num w:numId="40">
    <w:abstractNumId w:val="30"/>
  </w:num>
  <w:num w:numId="41">
    <w:abstractNumId w:val="14"/>
  </w:num>
  <w:num w:numId="42">
    <w:abstractNumId w:val="19"/>
  </w:num>
  <w:num w:numId="43">
    <w:abstractNumId w:val="27"/>
  </w:num>
  <w:num w:numId="44">
    <w:abstractNumId w:val="28"/>
  </w:num>
  <w:num w:numId="45">
    <w:abstractNumId w:val="2"/>
  </w:num>
  <w:num w:numId="46">
    <w:abstractNumId w:val="24"/>
  </w:num>
  <w:num w:numId="47">
    <w:abstractNumId w:val="26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015DB"/>
    <w:rsid w:val="00062C22"/>
    <w:rsid w:val="000D18C1"/>
    <w:rsid w:val="000F2007"/>
    <w:rsid w:val="00127165"/>
    <w:rsid w:val="00152575"/>
    <w:rsid w:val="00257514"/>
    <w:rsid w:val="00270766"/>
    <w:rsid w:val="0028196E"/>
    <w:rsid w:val="00282C6F"/>
    <w:rsid w:val="00302B60"/>
    <w:rsid w:val="00313B81"/>
    <w:rsid w:val="00315235"/>
    <w:rsid w:val="00345B0E"/>
    <w:rsid w:val="00370AA5"/>
    <w:rsid w:val="003A70B1"/>
    <w:rsid w:val="0041152B"/>
    <w:rsid w:val="004A10C5"/>
    <w:rsid w:val="004A2977"/>
    <w:rsid w:val="004B7272"/>
    <w:rsid w:val="005150CB"/>
    <w:rsid w:val="00522224"/>
    <w:rsid w:val="00536582"/>
    <w:rsid w:val="00544697"/>
    <w:rsid w:val="00591A49"/>
    <w:rsid w:val="005A1049"/>
    <w:rsid w:val="005B383F"/>
    <w:rsid w:val="006218C0"/>
    <w:rsid w:val="00667254"/>
    <w:rsid w:val="00685F91"/>
    <w:rsid w:val="006B3344"/>
    <w:rsid w:val="00766B48"/>
    <w:rsid w:val="00782182"/>
    <w:rsid w:val="008027AE"/>
    <w:rsid w:val="008E6AF3"/>
    <w:rsid w:val="009112B5"/>
    <w:rsid w:val="009B3706"/>
    <w:rsid w:val="009C75CD"/>
    <w:rsid w:val="009D1548"/>
    <w:rsid w:val="00A34700"/>
    <w:rsid w:val="00A3641C"/>
    <w:rsid w:val="00A42150"/>
    <w:rsid w:val="00A62F81"/>
    <w:rsid w:val="00A845DB"/>
    <w:rsid w:val="00AA7503"/>
    <w:rsid w:val="00AE3121"/>
    <w:rsid w:val="00B40F71"/>
    <w:rsid w:val="00B41326"/>
    <w:rsid w:val="00B96B68"/>
    <w:rsid w:val="00BD21D6"/>
    <w:rsid w:val="00C33664"/>
    <w:rsid w:val="00C40624"/>
    <w:rsid w:val="00C510ED"/>
    <w:rsid w:val="00C768AA"/>
    <w:rsid w:val="00CB1C16"/>
    <w:rsid w:val="00D365C4"/>
    <w:rsid w:val="00D5778F"/>
    <w:rsid w:val="00DC0CE4"/>
    <w:rsid w:val="00E375A8"/>
    <w:rsid w:val="00E4625C"/>
    <w:rsid w:val="00E67670"/>
    <w:rsid w:val="00E746DB"/>
    <w:rsid w:val="00EA150C"/>
    <w:rsid w:val="00EB16A0"/>
    <w:rsid w:val="00EE1F39"/>
    <w:rsid w:val="00F0058D"/>
    <w:rsid w:val="00F35C1C"/>
    <w:rsid w:val="00F547DE"/>
    <w:rsid w:val="00F80C70"/>
    <w:rsid w:val="00FC6396"/>
    <w:rsid w:val="00FD378B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26B-E4D6-4E05-88C4-7D780DA6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7</cp:revision>
  <cp:lastPrinted>2017-03-14T12:03:00Z</cp:lastPrinted>
  <dcterms:created xsi:type="dcterms:W3CDTF">2022-12-09T09:09:00Z</dcterms:created>
  <dcterms:modified xsi:type="dcterms:W3CDTF">2022-12-26T18:05:00Z</dcterms:modified>
</cp:coreProperties>
</file>