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FC254F" w:rsidRDefault="00FC254F" w:rsidP="00FC254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Проект</w:t>
      </w: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651E3A" w:rsidRPr="00FC254F" w:rsidRDefault="00651E3A">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00FC254F" w:rsidRPr="00FC254F">
        <w:rPr>
          <w:rFonts w:ascii="Times New Roman" w:hAnsi="Times New Roman" w:cs="Times New Roman"/>
          <w:b w:val="0"/>
          <w:sz w:val="28"/>
          <w:szCs w:val="28"/>
        </w:rPr>
        <w:t>КРАСНОЛИМАНСКОГО</w:t>
      </w:r>
      <w:r w:rsidR="00FC254F">
        <w:rPr>
          <w:rFonts w:ascii="Times New Roman" w:hAnsi="Times New Roman" w:cs="Times New Roman"/>
          <w:b w:val="0"/>
          <w:sz w:val="28"/>
          <w:szCs w:val="28"/>
        </w:rPr>
        <w:t xml:space="preserve"> СЕЛЬСКОГО ПОСЕЛЕНИЯ ПАНИНСКОГО МУНИЦИПАЛЬНОГО РАЙОНА ВОРОНЕЖСКОЙ ОБЛАСТИ</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711C24"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FC254F">
        <w:rPr>
          <w:rFonts w:ascii="Times New Roman" w:hAnsi="Times New Roman" w:cs="Times New Roman"/>
          <w:sz w:val="28"/>
          <w:szCs w:val="28"/>
        </w:rPr>
        <w:t xml:space="preserve">министрации Краснолиманского сельского поселения Панинского муниципального района Воронежской области </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 xml:space="preserve">решенийо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C254F">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FC254F">
        <w:rPr>
          <w:sz w:val="28"/>
          <w:szCs w:val="28"/>
        </w:rPr>
        <w:t xml:space="preserve"> на территории Краснолиманского сельского поселения Панинского муниципального района Воронежской области</w:t>
      </w:r>
      <w:r w:rsidR="00651E3A" w:rsidRPr="004D41BD">
        <w:rPr>
          <w:sz w:val="28"/>
          <w:szCs w:val="28"/>
        </w:rPr>
        <w:t xml:space="preserve">, </w:t>
      </w:r>
      <w:r w:rsidR="00711C24" w:rsidRPr="004D41BD">
        <w:rPr>
          <w:sz w:val="28"/>
          <w:szCs w:val="28"/>
        </w:rPr>
        <w:t xml:space="preserve">илиуполномоченное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FC254F">
        <w:rPr>
          <w:rFonts w:ascii="Times New Roman" w:hAnsi="Times New Roman" w:cs="Times New Roman"/>
          <w:sz w:val="28"/>
          <w:szCs w:val="28"/>
        </w:rPr>
        <w:t xml:space="preserve"> администрация Краснолиманского сельского поселения Панинского муниципального района Воронежской области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2"/>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FC254F">
        <w:rPr>
          <w:rFonts w:ascii="Times New Roman" w:hAnsi="Times New Roman" w:cs="Times New Roman"/>
          <w:sz w:val="28"/>
          <w:szCs w:val="28"/>
        </w:rPr>
        <w:t>в сети Интернет (</w:t>
      </w:r>
      <w:r w:rsidR="00FC254F" w:rsidRPr="00FC254F">
        <w:rPr>
          <w:rFonts w:ascii="Times New Roman" w:hAnsi="Times New Roman" w:cs="Times New Roman"/>
          <w:sz w:val="28"/>
          <w:szCs w:val="28"/>
        </w:rPr>
        <w:t>http://krasnolim.ru/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 xml:space="preserve">Принятие </w:t>
      </w:r>
      <w:r w:rsidR="00711C24" w:rsidRPr="004D41BD">
        <w:rPr>
          <w:rFonts w:ascii="Times New Roman" w:hAnsi="Times New Roman" w:cs="Times New Roman"/>
          <w:sz w:val="28"/>
          <w:szCs w:val="28"/>
        </w:rPr>
        <w:lastRenderedPageBreak/>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FC254F">
        <w:rPr>
          <w:rFonts w:ascii="Times New Roman" w:hAnsi="Times New Roman" w:cs="Times New Roman"/>
          <w:sz w:val="28"/>
          <w:szCs w:val="28"/>
        </w:rPr>
        <w:t>рация  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B1207">
        <w:rPr>
          <w:color w:val="FF0000"/>
          <w:sz w:val="28"/>
          <w:szCs w:val="28"/>
        </w:rPr>
        <w:t xml:space="preserve"> </w:t>
      </w:r>
      <w:r w:rsidR="007B1207" w:rsidRPr="007B1207">
        <w:rPr>
          <w:sz w:val="28"/>
          <w:szCs w:val="28"/>
        </w:rPr>
        <w:t>Постановлением №76 от «17» мая  2016</w:t>
      </w:r>
      <w:r w:rsidRPr="007B1207">
        <w:rPr>
          <w:sz w:val="28"/>
          <w:szCs w:val="28"/>
        </w:rPr>
        <w:t xml:space="preserve"> года</w:t>
      </w:r>
      <w:r w:rsidR="00EC7A35" w:rsidRPr="007B1207">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w:t>
      </w:r>
      <w:r w:rsidRPr="004D41BD">
        <w:rPr>
          <w:rFonts w:ascii="Times New Roman" w:hAnsi="Times New Roman" w:cs="Times New Roman"/>
          <w:sz w:val="28"/>
          <w:szCs w:val="28"/>
        </w:rPr>
        <w:lastRenderedPageBreak/>
        <w:t xml:space="preserve">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w:t>
      </w:r>
      <w:r w:rsidRPr="004D41BD">
        <w:rPr>
          <w:rFonts w:ascii="Times New Roman" w:hAnsi="Times New Roman" w:cs="Times New Roman"/>
          <w:sz w:val="28"/>
          <w:szCs w:val="28"/>
        </w:rPr>
        <w:lastRenderedPageBreak/>
        <w:t>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850AD6">
        <w:rPr>
          <w:rFonts w:ascii="Times New Roman" w:hAnsi="Times New Roman" w:cs="Times New Roman"/>
          <w:sz w:val="28"/>
          <w:szCs w:val="28"/>
        </w:rPr>
        <w:t>м 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EA1F8D" w:rsidRPr="00850AD6" w:rsidRDefault="00EA1F8D" w:rsidP="003B1221">
      <w:pPr>
        <w:pStyle w:val="ConsPlusNormal"/>
        <w:ind w:firstLine="540"/>
        <w:jc w:val="both"/>
        <w:rPr>
          <w:rFonts w:ascii="Times New Roman" w:hAnsi="Times New Roman" w:cs="Times New Roman"/>
          <w:color w:val="FF0000"/>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7B1207">
        <w:rPr>
          <w:rFonts w:ascii="Times New Roman" w:hAnsi="Times New Roman" w:cs="Times New Roman"/>
          <w:sz w:val="28"/>
          <w:szCs w:val="28"/>
        </w:rPr>
        <w:t xml:space="preserve"> </w:t>
      </w:r>
      <w:r w:rsidR="004D41BD">
        <w:rPr>
          <w:rFonts w:ascii="Times New Roman" w:hAnsi="Times New Roman" w:cs="Times New Roman"/>
          <w:sz w:val="28"/>
          <w:szCs w:val="28"/>
        </w:rPr>
        <w:t>А</w:t>
      </w:r>
      <w:r w:rsidR="00850AD6">
        <w:rPr>
          <w:rFonts w:ascii="Times New Roman" w:hAnsi="Times New Roman" w:cs="Times New Roman"/>
          <w:sz w:val="28"/>
          <w:szCs w:val="28"/>
        </w:rPr>
        <w:t>дминистрации Краснолиманского сельского поселения Панинского муниципального района Воронежской области</w:t>
      </w:r>
      <w:r w:rsidR="007B1207">
        <w:rPr>
          <w:rFonts w:ascii="Times New Roman" w:hAnsi="Times New Roman" w:cs="Times New Roman"/>
          <w:sz w:val="28"/>
          <w:szCs w:val="28"/>
        </w:rPr>
        <w:t xml:space="preserve"> </w:t>
      </w:r>
      <w:r w:rsidRPr="007B1207">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w:t>
      </w:r>
      <w:r w:rsidR="00DE3E63" w:rsidRPr="004D41BD">
        <w:rPr>
          <w:rFonts w:ascii="Times New Roman" w:hAnsi="Times New Roman" w:cs="Times New Roman"/>
          <w:sz w:val="28"/>
          <w:szCs w:val="28"/>
        </w:rPr>
        <w:lastRenderedPageBreak/>
        <w:t>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w:t>
      </w:r>
      <w:r w:rsidRPr="004D41BD">
        <w:rPr>
          <w:sz w:val="28"/>
          <w:szCs w:val="28"/>
        </w:rPr>
        <w:lastRenderedPageBreak/>
        <w:t>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 xml:space="preserve">числе для лиц с ограниченными </w:t>
      </w:r>
      <w:r w:rsidRPr="004D41BD">
        <w:rPr>
          <w:sz w:val="28"/>
          <w:szCs w:val="28"/>
        </w:rPr>
        <w:lastRenderedPageBreak/>
        <w:t>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 xml:space="preserve">должностное лицо, </w:t>
      </w:r>
      <w:r w:rsidRPr="004D41BD">
        <w:rPr>
          <w:rFonts w:ascii="Times New Roman" w:hAnsi="Times New Roman" w:cs="Times New Roman"/>
          <w:sz w:val="28"/>
          <w:szCs w:val="28"/>
        </w:rPr>
        <w:lastRenderedPageBreak/>
        <w:t>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w:t>
      </w:r>
      <w:r w:rsidRPr="004D41BD">
        <w:rPr>
          <w:rFonts w:ascii="Times New Roman" w:hAnsi="Times New Roman" w:cs="Times New Roman"/>
          <w:sz w:val="28"/>
          <w:szCs w:val="28"/>
        </w:rPr>
        <w:lastRenderedPageBreak/>
        <w:t>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w:t>
      </w:r>
      <w:r w:rsidR="00CE1140" w:rsidRPr="004D41BD">
        <w:rPr>
          <w:rFonts w:ascii="Times New Roman" w:hAnsi="Times New Roman" w:cs="Times New Roman"/>
          <w:sz w:val="28"/>
          <w:szCs w:val="28"/>
        </w:rPr>
        <w:lastRenderedPageBreak/>
        <w:t xml:space="preserve">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w:t>
      </w:r>
      <w:r w:rsidRPr="004D41BD">
        <w:rPr>
          <w:sz w:val="28"/>
          <w:szCs w:val="28"/>
        </w:rPr>
        <w:lastRenderedPageBreak/>
        <w:t xml:space="preserve">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w:t>
      </w:r>
      <w:r w:rsidRPr="004D41BD">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bookmarkStart w:id="6" w:name="_GoBack"/>
      <w:bookmarkEnd w:id="6"/>
      <w:r w:rsidR="00850AD6" w:rsidRPr="00850AD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50AD6" w:rsidRPr="00850AD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850AD6">
        <w:rPr>
          <w:rFonts w:ascii="Times New Roman" w:hAnsi="Times New Roman" w:cs="Times New Roman"/>
          <w:sz w:val="28"/>
          <w:szCs w:val="28"/>
        </w:rPr>
        <w:t xml:space="preserve">органов местного самоуправления </w:t>
      </w:r>
      <w:r w:rsidR="00850AD6" w:rsidRPr="008D35F9">
        <w:rPr>
          <w:rFonts w:ascii="Times New Roman" w:hAnsi="Times New Roman" w:cs="Times New Roman"/>
          <w:sz w:val="28"/>
          <w:szCs w:val="28"/>
        </w:rPr>
        <w:t>К</w:t>
      </w:r>
      <w:r w:rsidR="00850AD6" w:rsidRPr="00850AD6">
        <w:rPr>
          <w:rFonts w:ascii="Times New Roman" w:hAnsi="Times New Roman" w:cs="Times New Roman"/>
          <w:sz w:val="28"/>
          <w:szCs w:val="28"/>
        </w:rPr>
        <w:t>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50AD6" w:rsidRPr="008D35F9">
        <w:rPr>
          <w:rFonts w:ascii="Times New Roman" w:hAnsi="Times New Roman" w:cs="Times New Roman"/>
          <w:sz w:val="28"/>
          <w:szCs w:val="28"/>
        </w:rPr>
        <w:t xml:space="preserve">Краснолиманского </w:t>
      </w:r>
      <w:r w:rsidR="00850AD6" w:rsidRPr="00850AD6">
        <w:rPr>
          <w:rFonts w:ascii="Times New Roman" w:hAnsi="Times New Roman" w:cs="Times New Roman"/>
          <w:sz w:val="28"/>
          <w:szCs w:val="28"/>
        </w:rPr>
        <w:t>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Жалоба подлежит рассмотрению в течение пятнадцати рабочих </w:t>
      </w:r>
      <w:r w:rsidRPr="004D41BD">
        <w:rPr>
          <w:rFonts w:ascii="Times New Roman" w:hAnsi="Times New Roman" w:cs="Times New Roman"/>
          <w:sz w:val="28"/>
          <w:szCs w:val="28"/>
        </w:rPr>
        <w:lastRenderedPageBreak/>
        <w:t>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lastRenderedPageBreak/>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w:t>
      </w:r>
      <w:r w:rsidR="00850AD6">
        <w:rPr>
          <w:sz w:val="28"/>
          <w:szCs w:val="28"/>
        </w:rPr>
        <w:t xml:space="preserve">Место нахождения администрации </w:t>
      </w:r>
      <w:r w:rsidR="00850AD6" w:rsidRPr="00850AD6">
        <w:rPr>
          <w:sz w:val="28"/>
          <w:szCs w:val="28"/>
        </w:rPr>
        <w:t>Краснолиманского сельского поселения Панинского муниципального района Воронежской области</w:t>
      </w:r>
      <w:r w:rsidR="009157DD">
        <w:rPr>
          <w:sz w:val="28"/>
          <w:szCs w:val="28"/>
        </w:rPr>
        <w:t>:</w:t>
      </w:r>
      <w:r w:rsidR="009157DD" w:rsidRPr="009157DD">
        <w:rPr>
          <w:sz w:val="28"/>
          <w:szCs w:val="28"/>
        </w:rPr>
        <w:t>396147 Воронежская область, Панинский район, с. Красный  Лиман, ул. Советская д.50</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администра</w:t>
      </w:r>
      <w:r w:rsidR="00850AD6">
        <w:rPr>
          <w:sz w:val="28"/>
          <w:szCs w:val="28"/>
        </w:rPr>
        <w:t>ции</w:t>
      </w:r>
      <w:r w:rsidR="00850AD6" w:rsidRPr="00850AD6">
        <w:rPr>
          <w:sz w:val="28"/>
          <w:szCs w:val="28"/>
        </w:rPr>
        <w:t>Краснолиманского сельского поселения Панинского муниципального района Воронежской области</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четверг: </w:t>
      </w:r>
      <w:r w:rsidR="0070221D">
        <w:rPr>
          <w:sz w:val="28"/>
          <w:szCs w:val="28"/>
        </w:rPr>
        <w:t>с 8-00 до 16-00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пятница: с </w:t>
      </w:r>
      <w:r w:rsidR="0070221D">
        <w:rPr>
          <w:sz w:val="28"/>
          <w:szCs w:val="28"/>
        </w:rPr>
        <w:t>8-00 до 16-00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70221D">
        <w:rPr>
          <w:sz w:val="28"/>
          <w:szCs w:val="28"/>
        </w:rPr>
        <w:t>12-00 до 13-00</w:t>
      </w:r>
      <w:r w:rsidRPr="004D41BD">
        <w:rPr>
          <w:sz w:val="28"/>
          <w:szCs w:val="28"/>
        </w:rPr>
        <w:t>.</w:t>
      </w:r>
    </w:p>
    <w:p w:rsidR="00947BEE" w:rsidRPr="004D41BD" w:rsidRDefault="00850AD6" w:rsidP="00947BEE">
      <w:pPr>
        <w:autoSpaceDE w:val="0"/>
        <w:autoSpaceDN w:val="0"/>
        <w:adjustRightInd w:val="0"/>
        <w:ind w:firstLine="709"/>
        <w:jc w:val="both"/>
        <w:rPr>
          <w:sz w:val="28"/>
          <w:szCs w:val="28"/>
        </w:rPr>
      </w:pPr>
      <w:r>
        <w:rPr>
          <w:sz w:val="28"/>
          <w:szCs w:val="28"/>
        </w:rPr>
        <w:t xml:space="preserve">Официальный сайт администрации </w:t>
      </w:r>
      <w:r w:rsidRPr="00850AD6">
        <w:rPr>
          <w:sz w:val="28"/>
          <w:szCs w:val="28"/>
        </w:rPr>
        <w:t>Краснолиманского сельского поселения Панинского муниципального района Воронежской области</w:t>
      </w:r>
      <w:r w:rsidR="00947BEE" w:rsidRPr="004D41BD">
        <w:rPr>
          <w:sz w:val="28"/>
          <w:szCs w:val="28"/>
        </w:rPr>
        <w:t xml:space="preserve"> в се</w:t>
      </w:r>
      <w:r w:rsidR="00FC254F">
        <w:rPr>
          <w:sz w:val="28"/>
          <w:szCs w:val="28"/>
        </w:rPr>
        <w:t>ти Интернет: www.</w:t>
      </w:r>
      <w:r w:rsidR="00FC254F" w:rsidRPr="00FC254F">
        <w:rPr>
          <w:sz w:val="28"/>
          <w:szCs w:val="28"/>
        </w:rPr>
        <w:t>http://krasnolim.ru/</w:t>
      </w:r>
      <w:r w:rsidR="00947BEE"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w:t>
      </w:r>
      <w:r w:rsidR="00850AD6">
        <w:rPr>
          <w:sz w:val="28"/>
          <w:szCs w:val="28"/>
        </w:rPr>
        <w:t xml:space="preserve">лектронной почты администрации </w:t>
      </w:r>
      <w:r w:rsidR="00850AD6" w:rsidRPr="00850AD6">
        <w:rPr>
          <w:sz w:val="28"/>
          <w:szCs w:val="28"/>
        </w:rPr>
        <w:t>Краснолиманского сельского поселения Панинского муниципального района Воронежской области</w:t>
      </w:r>
      <w:r w:rsidR="0070221D">
        <w:rPr>
          <w:sz w:val="28"/>
          <w:szCs w:val="28"/>
        </w:rPr>
        <w:t>:</w:t>
      </w:r>
      <w:r w:rsidR="0070221D" w:rsidRPr="0070221D">
        <w:rPr>
          <w:sz w:val="28"/>
          <w:szCs w:val="28"/>
        </w:rPr>
        <w:t>krasnolim.panin@qovvrn.ru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70221D">
        <w:rPr>
          <w:sz w:val="28"/>
          <w:szCs w:val="28"/>
        </w:rPr>
        <w:t>авок: 8-47344-4-22-01</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кадастровыйномер  (в  случае  если  право  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2E5A90"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2E5A90"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E5A90"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E5A90"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2E5A90"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E5A90"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E5A90"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E27CA3" w:rsidRPr="00217F0F" w:rsidRDefault="00E27CA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E5A90"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E5A90"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E27CA3" w:rsidRPr="00217F0F" w:rsidRDefault="00E27CA3"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0AA" w:rsidRDefault="00CE40AA" w:rsidP="00947BEE">
      <w:r>
        <w:separator/>
      </w:r>
    </w:p>
  </w:endnote>
  <w:endnote w:type="continuationSeparator" w:id="1">
    <w:p w:rsidR="00CE40AA" w:rsidRDefault="00CE40AA"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0AA" w:rsidRDefault="00CE40AA" w:rsidP="00947BEE">
      <w:r>
        <w:separator/>
      </w:r>
    </w:p>
  </w:footnote>
  <w:footnote w:type="continuationSeparator" w:id="1">
    <w:p w:rsidR="00CE40AA" w:rsidRDefault="00CE40AA" w:rsidP="00947BEE">
      <w:r>
        <w:continuationSeparator/>
      </w:r>
    </w:p>
  </w:footnote>
  <w:footnote w:id="2">
    <w:p w:rsidR="009157DD" w:rsidRPr="00BC1FA8" w:rsidRDefault="009157DD"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9157DD" w:rsidRPr="00BC1FA8" w:rsidRDefault="009157DD"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9157DD" w:rsidRDefault="009157DD"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9157DD" w:rsidRDefault="009157DD"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66DA5"/>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2E5A90"/>
    <w:rsid w:val="00303BAF"/>
    <w:rsid w:val="00351466"/>
    <w:rsid w:val="00355BDA"/>
    <w:rsid w:val="00356591"/>
    <w:rsid w:val="00386D3E"/>
    <w:rsid w:val="003B1221"/>
    <w:rsid w:val="003C78B1"/>
    <w:rsid w:val="004015CD"/>
    <w:rsid w:val="00426E30"/>
    <w:rsid w:val="00431DC8"/>
    <w:rsid w:val="00441904"/>
    <w:rsid w:val="00442112"/>
    <w:rsid w:val="004539AF"/>
    <w:rsid w:val="004D41BD"/>
    <w:rsid w:val="005346B7"/>
    <w:rsid w:val="00594454"/>
    <w:rsid w:val="005B4CC3"/>
    <w:rsid w:val="00651E3A"/>
    <w:rsid w:val="0067780A"/>
    <w:rsid w:val="00693150"/>
    <w:rsid w:val="006B04C8"/>
    <w:rsid w:val="006B7158"/>
    <w:rsid w:val="0070221D"/>
    <w:rsid w:val="00711C24"/>
    <w:rsid w:val="00762FA2"/>
    <w:rsid w:val="007B1207"/>
    <w:rsid w:val="007C13E0"/>
    <w:rsid w:val="007D7132"/>
    <w:rsid w:val="007F3EA1"/>
    <w:rsid w:val="0080599F"/>
    <w:rsid w:val="0081243A"/>
    <w:rsid w:val="00850AD6"/>
    <w:rsid w:val="008618CD"/>
    <w:rsid w:val="00865112"/>
    <w:rsid w:val="00871AF6"/>
    <w:rsid w:val="008B5546"/>
    <w:rsid w:val="008C0E5E"/>
    <w:rsid w:val="008C725C"/>
    <w:rsid w:val="008D35F9"/>
    <w:rsid w:val="008E0CC1"/>
    <w:rsid w:val="00902F89"/>
    <w:rsid w:val="00907B12"/>
    <w:rsid w:val="00913766"/>
    <w:rsid w:val="009157DD"/>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B0BDF"/>
    <w:rsid w:val="00CD7EB0"/>
    <w:rsid w:val="00CE1140"/>
    <w:rsid w:val="00CE40AA"/>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2DA4"/>
    <w:rsid w:val="00E96C17"/>
    <w:rsid w:val="00EA1F8D"/>
    <w:rsid w:val="00EC733B"/>
    <w:rsid w:val="00EC7A35"/>
    <w:rsid w:val="00ED2E4E"/>
    <w:rsid w:val="00EE2F2C"/>
    <w:rsid w:val="00F6417C"/>
    <w:rsid w:val="00F76806"/>
    <w:rsid w:val="00FB3B6B"/>
    <w:rsid w:val="00FC2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3"/>
        <o:r id="V:Rule5" type="connector" idref="#Прямая со стрелкой 12"/>
        <o:r id="V:Rule6" type="connector" idref="#Прямая со стрелкой 16"/>
        <o:r id="V:Rule7"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97C3-FDC2-4D35-ADCB-733E40B1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8883</Words>
  <Characters>50638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Краснолиманское сельское поселение</cp:lastModifiedBy>
  <cp:revision>27</cp:revision>
  <cp:lastPrinted>2017-07-26T12:41:00Z</cp:lastPrinted>
  <dcterms:created xsi:type="dcterms:W3CDTF">2017-05-30T13:33:00Z</dcterms:created>
  <dcterms:modified xsi:type="dcterms:W3CDTF">2017-10-11T06:37:00Z</dcterms:modified>
</cp:coreProperties>
</file>