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3D" w:rsidRDefault="0052623D" w:rsidP="0052623D">
      <w:pPr>
        <w:autoSpaceDE w:val="0"/>
        <w:autoSpaceDN w:val="0"/>
        <w:adjustRightInd w:val="0"/>
        <w:spacing w:after="150"/>
        <w:ind w:firstLine="709"/>
        <w:contextualSpacing/>
        <w:jc w:val="both"/>
        <w:rPr>
          <w:rFonts w:eastAsia="SimSun"/>
          <w:b/>
          <w:color w:val="333333"/>
          <w:sz w:val="28"/>
          <w:szCs w:val="28"/>
          <w:lang w:eastAsia="zh-CN"/>
        </w:rPr>
      </w:pPr>
      <w:r>
        <w:rPr>
          <w:rFonts w:eastAsia="SimSun"/>
          <w:b/>
          <w:color w:val="333333"/>
          <w:sz w:val="28"/>
          <w:szCs w:val="28"/>
          <w:lang w:eastAsia="zh-CN"/>
        </w:rPr>
        <w:t>ПРОЕКТ</w:t>
      </w:r>
    </w:p>
    <w:p w:rsidR="0052623D" w:rsidRPr="00A87E98" w:rsidRDefault="0052623D" w:rsidP="0052623D">
      <w:pPr>
        <w:ind w:firstLine="567"/>
      </w:pPr>
      <w:r>
        <w:rPr>
          <w:noProof/>
          <w:lang w:eastAsia="ru-RU"/>
        </w:rPr>
        <w:drawing>
          <wp:anchor distT="0" distB="0" distL="114300" distR="114300" simplePos="0" relativeHeight="251689984" behindDoc="0" locked="0" layoutInCell="1" allowOverlap="1">
            <wp:simplePos x="0" y="0"/>
            <wp:positionH relativeFrom="column">
              <wp:posOffset>2812415</wp:posOffset>
            </wp:positionH>
            <wp:positionV relativeFrom="paragraph">
              <wp:posOffset>1905</wp:posOffset>
            </wp:positionV>
            <wp:extent cx="681355" cy="741680"/>
            <wp:effectExtent l="19050" t="0" r="4445" b="0"/>
            <wp:wrapSquare wrapText="left"/>
            <wp:docPr id="30"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81355" cy="741680"/>
                    </a:xfrm>
                    <a:prstGeom prst="rect">
                      <a:avLst/>
                    </a:prstGeom>
                    <a:noFill/>
                    <a:ln w="9525">
                      <a:noFill/>
                      <a:miter lim="800000"/>
                      <a:headEnd/>
                      <a:tailEnd/>
                    </a:ln>
                  </pic:spPr>
                </pic:pic>
              </a:graphicData>
            </a:graphic>
          </wp:anchor>
        </w:drawing>
      </w:r>
      <w:r>
        <w:br w:type="textWrapping" w:clear="all"/>
      </w:r>
    </w:p>
    <w:p w:rsidR="0052623D" w:rsidRDefault="0052623D" w:rsidP="0052623D">
      <w:pPr>
        <w:ind w:firstLine="567"/>
        <w:jc w:val="center"/>
        <w:rPr>
          <w:b/>
          <w:bCs/>
          <w:i/>
          <w:iCs/>
        </w:rPr>
      </w:pPr>
      <w:r w:rsidRPr="00A87E98">
        <w:rPr>
          <w:b/>
          <w:bCs/>
          <w:i/>
          <w:iCs/>
        </w:rPr>
        <w:t xml:space="preserve">Администрация Озерского  сельского поселения </w:t>
      </w:r>
    </w:p>
    <w:p w:rsidR="0052623D" w:rsidRPr="00A87E98" w:rsidRDefault="0052623D" w:rsidP="0052623D">
      <w:pPr>
        <w:ind w:firstLine="567"/>
        <w:jc w:val="center"/>
        <w:rPr>
          <w:b/>
          <w:bCs/>
          <w:i/>
          <w:iCs/>
        </w:rPr>
      </w:pPr>
      <w:r w:rsidRPr="00A87E98">
        <w:rPr>
          <w:b/>
          <w:bCs/>
          <w:i/>
          <w:iCs/>
        </w:rPr>
        <w:t xml:space="preserve">Бутурлиновского муниципального района </w:t>
      </w:r>
    </w:p>
    <w:p w:rsidR="0052623D" w:rsidRPr="00A87E98" w:rsidRDefault="0052623D" w:rsidP="0052623D">
      <w:pPr>
        <w:ind w:firstLine="567"/>
        <w:jc w:val="center"/>
        <w:rPr>
          <w:b/>
          <w:bCs/>
          <w:i/>
          <w:iCs/>
        </w:rPr>
      </w:pPr>
      <w:r w:rsidRPr="00A87E98">
        <w:rPr>
          <w:b/>
          <w:bCs/>
          <w:i/>
          <w:iCs/>
        </w:rPr>
        <w:t>Воронежской области</w:t>
      </w:r>
    </w:p>
    <w:p w:rsidR="0052623D" w:rsidRPr="00A87E98" w:rsidRDefault="0052623D" w:rsidP="0052623D">
      <w:pPr>
        <w:ind w:firstLine="567"/>
        <w:jc w:val="center"/>
      </w:pPr>
      <w:r w:rsidRPr="00A87E98">
        <w:rPr>
          <w:b/>
          <w:bCs/>
          <w:i/>
          <w:iCs/>
        </w:rPr>
        <w:t>ПОСТАНОВЛЕНИЕ</w:t>
      </w:r>
    </w:p>
    <w:p w:rsidR="0052623D" w:rsidRPr="00A87E98" w:rsidRDefault="0052623D" w:rsidP="0052623D">
      <w:pPr>
        <w:jc w:val="both"/>
      </w:pPr>
      <w:r w:rsidRPr="00A87E98">
        <w:t>от   _______________ года  № __________</w:t>
      </w:r>
    </w:p>
    <w:p w:rsidR="0052623D" w:rsidRDefault="0052623D" w:rsidP="0052623D">
      <w:pPr>
        <w:jc w:val="both"/>
      </w:pPr>
      <w:r w:rsidRPr="00A87E98">
        <w:t xml:space="preserve">          с. Озерки </w:t>
      </w:r>
    </w:p>
    <w:p w:rsidR="0052623D" w:rsidRPr="00855BEF" w:rsidRDefault="0052623D" w:rsidP="0052623D">
      <w:pPr>
        <w:jc w:val="both"/>
        <w:rPr>
          <w:bCs/>
          <w:lang w:eastAsia="ar-SA"/>
        </w:rPr>
      </w:pPr>
      <w:r w:rsidRPr="00E8152F">
        <w:rPr>
          <w:b/>
          <w:bCs/>
          <w:lang w:eastAsia="ar-SA"/>
        </w:rPr>
        <w:t>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w:t>
      </w:r>
      <w:r w:rsidRPr="00A87E98">
        <w:rPr>
          <w:b/>
          <w:bCs/>
          <w:lang w:eastAsia="ar-SA"/>
        </w:rPr>
        <w:t xml:space="preserve"> </w:t>
      </w:r>
      <w:r w:rsidRPr="00855BEF">
        <w:rPr>
          <w:b/>
          <w:bCs/>
        </w:rPr>
        <w:t>«</w:t>
      </w:r>
      <w:r w:rsidRPr="0052623D">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55BEF">
        <w:rPr>
          <w:bCs/>
        </w:rPr>
        <w:t>»</w:t>
      </w:r>
    </w:p>
    <w:p w:rsidR="0052623D" w:rsidRPr="00A87E98" w:rsidRDefault="0052623D" w:rsidP="0052623D">
      <w:pPr>
        <w:shd w:val="clear" w:color="auto" w:fill="FFFFFF"/>
        <w:ind w:firstLine="709"/>
        <w:jc w:val="both"/>
        <w:textAlignment w:val="top"/>
        <w:rPr>
          <w:color w:val="000000"/>
        </w:rPr>
      </w:pPr>
      <w:r w:rsidRPr="00A87E98">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A87E98">
        <w:rPr>
          <w:color w:val="000000"/>
        </w:rPr>
        <w:t xml:space="preserve">руководствуясь постановлением администрации Озерского  сельского  поселения от 14.04.2015 г. № 12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Озерского  сельского поселения  </w:t>
      </w:r>
    </w:p>
    <w:p w:rsidR="0052623D" w:rsidRPr="00A87E98" w:rsidRDefault="0052623D" w:rsidP="0052623D">
      <w:pPr>
        <w:ind w:firstLine="567"/>
        <w:jc w:val="center"/>
        <w:rPr>
          <w:b/>
          <w:bCs/>
        </w:rPr>
      </w:pPr>
      <w:r w:rsidRPr="00A87E98">
        <w:rPr>
          <w:b/>
          <w:bCs/>
        </w:rPr>
        <w:t>ПОСТАНОВЛЯЕТ:</w:t>
      </w:r>
    </w:p>
    <w:p w:rsidR="0052623D" w:rsidRPr="0052623D" w:rsidRDefault="0052623D" w:rsidP="0052623D">
      <w:pPr>
        <w:numPr>
          <w:ilvl w:val="0"/>
          <w:numId w:val="19"/>
        </w:numPr>
        <w:autoSpaceDE w:val="0"/>
        <w:autoSpaceDN w:val="0"/>
        <w:adjustRightInd w:val="0"/>
        <w:spacing w:after="0" w:line="240" w:lineRule="auto"/>
        <w:jc w:val="both"/>
        <w:rPr>
          <w:sz w:val="24"/>
          <w:szCs w:val="24"/>
        </w:rPr>
      </w:pPr>
      <w:r w:rsidRPr="00A87E98">
        <w:t>Утвердить прилагаемый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52623D">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2623D">
        <w:rPr>
          <w:sz w:val="24"/>
          <w:szCs w:val="24"/>
        </w:rPr>
        <w:t>».</w:t>
      </w:r>
    </w:p>
    <w:p w:rsidR="0052623D" w:rsidRPr="00A87E98" w:rsidRDefault="0052623D" w:rsidP="0052623D">
      <w:pPr>
        <w:pStyle w:val="a6"/>
        <w:numPr>
          <w:ilvl w:val="0"/>
          <w:numId w:val="19"/>
        </w:numPr>
        <w:jc w:val="both"/>
        <w:rPr>
          <w:color w:val="FF0000"/>
        </w:rPr>
      </w:pPr>
      <w:r w:rsidRPr="00A87E98">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52623D" w:rsidRPr="00A87E98" w:rsidRDefault="0052623D" w:rsidP="0052623D">
      <w:pPr>
        <w:numPr>
          <w:ilvl w:val="0"/>
          <w:numId w:val="19"/>
        </w:numPr>
        <w:spacing w:after="0" w:line="240" w:lineRule="auto"/>
        <w:jc w:val="both"/>
      </w:pPr>
      <w:r w:rsidRPr="00A87E98">
        <w:t>Настоящее постановление вступает в силу с момента его официального опубликования.</w:t>
      </w:r>
    </w:p>
    <w:p w:rsidR="0052623D" w:rsidRPr="00A87E98" w:rsidRDefault="0052623D" w:rsidP="0052623D">
      <w:pPr>
        <w:autoSpaceDE w:val="0"/>
        <w:autoSpaceDN w:val="0"/>
        <w:adjustRightInd w:val="0"/>
        <w:spacing w:after="150"/>
        <w:ind w:firstLine="709"/>
        <w:contextualSpacing/>
        <w:jc w:val="both"/>
        <w:rPr>
          <w:rFonts w:eastAsia="SimSun"/>
          <w:b/>
          <w:color w:val="333333"/>
          <w:lang w:eastAsia="zh-CN"/>
        </w:rPr>
      </w:pPr>
      <w:r w:rsidRPr="00A87E98">
        <w:t>Глава Озерского сельского поселения                           В.А.Заго</w:t>
      </w:r>
      <w:r>
        <w:t>нов</w:t>
      </w:r>
    </w:p>
    <w:p w:rsidR="0052623D" w:rsidRPr="00A87E98" w:rsidRDefault="0052623D" w:rsidP="0052623D">
      <w:pPr>
        <w:autoSpaceDE w:val="0"/>
        <w:autoSpaceDN w:val="0"/>
        <w:adjustRightInd w:val="0"/>
        <w:spacing w:after="150"/>
        <w:ind w:firstLine="709"/>
        <w:contextualSpacing/>
        <w:jc w:val="both"/>
        <w:rPr>
          <w:rFonts w:eastAsia="SimSun"/>
          <w:b/>
          <w:color w:val="333333"/>
          <w:lang w:eastAsia="zh-CN"/>
        </w:rPr>
      </w:pPr>
    </w:p>
    <w:p w:rsidR="0052623D" w:rsidRPr="00550595" w:rsidRDefault="0052623D" w:rsidP="0052623D">
      <w:pPr>
        <w:ind w:left="4820"/>
        <w:contextualSpacing/>
        <w:jc w:val="both"/>
        <w:rPr>
          <w:color w:val="000000"/>
        </w:rPr>
      </w:pPr>
      <w:r w:rsidRPr="00550595">
        <w:rPr>
          <w:color w:val="000000"/>
        </w:rPr>
        <w:lastRenderedPageBreak/>
        <w:t>Утвержден</w:t>
      </w:r>
    </w:p>
    <w:p w:rsidR="0052623D" w:rsidRPr="00550595" w:rsidRDefault="0052623D" w:rsidP="0052623D">
      <w:pPr>
        <w:ind w:left="4820"/>
        <w:contextualSpacing/>
        <w:jc w:val="both"/>
        <w:rPr>
          <w:color w:val="000000"/>
        </w:rPr>
      </w:pPr>
      <w:r w:rsidRPr="00550595">
        <w:rPr>
          <w:color w:val="000000"/>
        </w:rPr>
        <w:t>постановлением  администрации</w:t>
      </w:r>
    </w:p>
    <w:p w:rsidR="0052623D" w:rsidRPr="00550595" w:rsidRDefault="0052623D" w:rsidP="0052623D">
      <w:pPr>
        <w:ind w:left="4820"/>
        <w:contextualSpacing/>
        <w:jc w:val="both"/>
        <w:rPr>
          <w:color w:val="000000"/>
        </w:rPr>
      </w:pPr>
      <w:r w:rsidRPr="00550595">
        <w:rPr>
          <w:color w:val="000000"/>
        </w:rPr>
        <w:t>Озерского сельского поселения</w:t>
      </w:r>
    </w:p>
    <w:p w:rsidR="0052623D" w:rsidRPr="00567BF2" w:rsidRDefault="0052623D" w:rsidP="0052623D">
      <w:pPr>
        <w:ind w:left="4820"/>
        <w:contextualSpacing/>
        <w:jc w:val="both"/>
        <w:rPr>
          <w:color w:val="000000"/>
          <w:sz w:val="28"/>
          <w:szCs w:val="28"/>
        </w:rPr>
      </w:pPr>
      <w:r w:rsidRPr="00567BF2">
        <w:rPr>
          <w:color w:val="000000"/>
          <w:sz w:val="28"/>
          <w:szCs w:val="28"/>
        </w:rPr>
        <w:t xml:space="preserve">                                                              от «_</w:t>
      </w:r>
      <w:r>
        <w:rPr>
          <w:color w:val="000000"/>
          <w:sz w:val="28"/>
          <w:szCs w:val="28"/>
        </w:rPr>
        <w:t xml:space="preserve">___» ________20____г. </w:t>
      </w:r>
    </w:p>
    <w:p w:rsidR="0052623D" w:rsidRPr="00A87E98" w:rsidRDefault="0052623D" w:rsidP="0052623D">
      <w:pPr>
        <w:autoSpaceDE w:val="0"/>
        <w:autoSpaceDN w:val="0"/>
        <w:adjustRightInd w:val="0"/>
        <w:spacing w:after="150"/>
        <w:ind w:firstLine="709"/>
        <w:contextualSpacing/>
        <w:jc w:val="both"/>
        <w:rPr>
          <w:rFonts w:eastAsia="SimSun"/>
          <w:b/>
          <w:color w:val="333333"/>
          <w:lang w:eastAsia="zh-CN"/>
        </w:rPr>
      </w:pPr>
    </w:p>
    <w:p w:rsidR="0052623D" w:rsidRDefault="0052623D"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52623D"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ОЗЕРСКОГО </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БУТУРЛИНОВСКОГО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52623D">
        <w:rPr>
          <w:rFonts w:ascii="Times New Roman" w:eastAsia="Times New Roman" w:hAnsi="Times New Roman" w:cs="Times New Roman"/>
          <w:sz w:val="28"/>
          <w:szCs w:val="28"/>
          <w:lang w:eastAsia="ru-RU"/>
        </w:rPr>
        <w:t xml:space="preserve">ителями, администрацией Озерского </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w:t>
      </w:r>
      <w:r w:rsidRPr="00F04160">
        <w:rPr>
          <w:rFonts w:ascii="Times New Roman" w:eastAsia="Times New Roman" w:hAnsi="Times New Roman" w:cs="Times New Roman"/>
          <w:sz w:val="28"/>
          <w:szCs w:val="28"/>
          <w:lang w:eastAsia="ar-SA"/>
        </w:rPr>
        <w:lastRenderedPageBreak/>
        <w:t>админист</w:t>
      </w:r>
      <w:r w:rsidR="0052623D">
        <w:rPr>
          <w:rFonts w:ascii="Times New Roman" w:eastAsia="Times New Roman" w:hAnsi="Times New Roman" w:cs="Times New Roman"/>
          <w:sz w:val="28"/>
          <w:szCs w:val="28"/>
          <w:lang w:eastAsia="ar-SA"/>
        </w:rPr>
        <w:t xml:space="preserve">рация  Озерского </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52623D">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52623D" w:rsidRPr="0052623D">
        <w:rPr>
          <w:rFonts w:ascii="Times New Roman" w:hAnsi="Times New Roman" w:cs="Times New Roman"/>
          <w:sz w:val="28"/>
          <w:szCs w:val="28"/>
        </w:rPr>
        <w:t>397532 Воронежская область, Бутурлиновский район, с. Озерки, ул. Октябрьская,11</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52623D">
        <w:rPr>
          <w:rFonts w:ascii="Times New Roman" w:eastAsia="Times New Roman" w:hAnsi="Times New Roman" w:cs="Times New Roman"/>
          <w:sz w:val="28"/>
          <w:szCs w:val="28"/>
          <w:lang w:eastAsia="ru-RU"/>
        </w:rPr>
        <w:t>ой почты администрации  Озерского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52623D"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w:t>
      </w:r>
      <w:r w:rsidR="0052623D">
        <w:rPr>
          <w:rFonts w:ascii="Times New Roman" w:eastAsia="Times New Roman" w:hAnsi="Times New Roman" w:cs="Times New Roman"/>
          <w:sz w:val="28"/>
          <w:szCs w:val="28"/>
          <w:lang w:eastAsia="ru-RU"/>
        </w:rPr>
        <w:t xml:space="preserve">инистрации в сети Интернет </w:t>
      </w:r>
      <w:r w:rsidR="0052623D" w:rsidRPr="0052623D">
        <w:rPr>
          <w:rFonts w:ascii="Times New Roman" w:eastAsia="Times New Roman" w:hAnsi="Times New Roman" w:cs="Times New Roman"/>
          <w:sz w:val="28"/>
          <w:szCs w:val="28"/>
          <w:lang w:eastAsia="ru-RU"/>
        </w:rPr>
        <w:t>(</w:t>
      </w:r>
      <w:r w:rsidR="0052623D" w:rsidRPr="0052623D">
        <w:rPr>
          <w:rFonts w:ascii="Times New Roman" w:hAnsi="Times New Roman" w:cs="Times New Roman"/>
          <w:sz w:val="28"/>
          <w:szCs w:val="28"/>
          <w:lang w:val="en-US"/>
        </w:rPr>
        <w:t>http</w:t>
      </w:r>
      <w:r w:rsidR="0052623D" w:rsidRPr="0052623D">
        <w:rPr>
          <w:rFonts w:ascii="Times New Roman" w:hAnsi="Times New Roman" w:cs="Times New Roman"/>
          <w:sz w:val="28"/>
          <w:szCs w:val="28"/>
        </w:rPr>
        <w:t xml:space="preserve">\\: </w:t>
      </w:r>
      <w:r w:rsidR="0052623D" w:rsidRPr="0052623D">
        <w:rPr>
          <w:rFonts w:ascii="Times New Roman" w:hAnsi="Times New Roman" w:cs="Times New Roman"/>
          <w:sz w:val="28"/>
          <w:szCs w:val="28"/>
          <w:lang w:val="en-US"/>
        </w:rPr>
        <w:t>ozerskoe</w:t>
      </w:r>
      <w:r w:rsidR="0052623D" w:rsidRPr="0052623D">
        <w:rPr>
          <w:rFonts w:ascii="Times New Roman" w:hAnsi="Times New Roman" w:cs="Times New Roman"/>
          <w:sz w:val="28"/>
          <w:szCs w:val="28"/>
        </w:rPr>
        <w:t>.ru</w:t>
      </w:r>
      <w:r w:rsidRPr="0052623D">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F04160">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52623D">
        <w:rPr>
          <w:rFonts w:ascii="Times New Roman" w:eastAsia="Times New Roman" w:hAnsi="Times New Roman" w:cs="Times New Roman"/>
          <w:sz w:val="28"/>
          <w:szCs w:val="28"/>
          <w:lang w:eastAsia="ru-RU"/>
        </w:rPr>
        <w:t xml:space="preserve">рация  Озерского </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52623D">
        <w:rPr>
          <w:rFonts w:ascii="Times New Roman" w:eastAsia="Times New Roman" w:hAnsi="Times New Roman" w:cs="Times New Roman"/>
          <w:sz w:val="28"/>
          <w:szCs w:val="28"/>
          <w:lang w:eastAsia="ru-RU"/>
        </w:rPr>
        <w:t xml:space="preserve"> СНД от «22» июля  2015</w:t>
      </w:r>
      <w:r w:rsidRPr="00F04160">
        <w:rPr>
          <w:rFonts w:ascii="Times New Roman" w:eastAsia="Times New Roman" w:hAnsi="Times New Roman" w:cs="Times New Roman"/>
          <w:sz w:val="28"/>
          <w:szCs w:val="28"/>
          <w:lang w:eastAsia="ru-RU"/>
        </w:rPr>
        <w:t>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3F6A72"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3F6A72"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3F6A72"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се</w:t>
      </w:r>
      <w:r w:rsidR="0052623D">
        <w:rPr>
          <w:rFonts w:ascii="Times New Roman" w:hAnsi="Times New Roman" w:cs="Times New Roman"/>
          <w:sz w:val="28"/>
          <w:szCs w:val="28"/>
        </w:rPr>
        <w:t xml:space="preserve">льского поселения  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w:t>
      </w:r>
      <w:r w:rsidR="0052623D">
        <w:rPr>
          <w:rFonts w:ascii="Times New Roman" w:hAnsi="Times New Roman" w:cs="Times New Roman"/>
          <w:sz w:val="28"/>
          <w:szCs w:val="28"/>
        </w:rPr>
        <w:t xml:space="preserve">равовыми актами    Озерского </w:t>
      </w:r>
      <w:r w:rsidR="00570E3D" w:rsidRPr="00570E3D">
        <w:rPr>
          <w:rFonts w:ascii="Times New Roman" w:hAnsi="Times New Roman" w:cs="Times New Roman"/>
          <w:sz w:val="28"/>
          <w:szCs w:val="28"/>
        </w:rPr>
        <w:t xml:space="preserve"> </w:t>
      </w:r>
      <w:r w:rsidR="0052623D">
        <w:rPr>
          <w:rFonts w:ascii="Times New Roman" w:hAnsi="Times New Roman" w:cs="Times New Roman"/>
          <w:sz w:val="28"/>
          <w:szCs w:val="28"/>
        </w:rPr>
        <w:t xml:space="preserve"> сельского поселения Бутурлиновского </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w:t>
      </w:r>
      <w:r w:rsidRPr="007F4F08">
        <w:rPr>
          <w:rFonts w:ascii="Times New Roman" w:hAnsi="Times New Roman" w:cs="Times New Roman"/>
          <w:sz w:val="28"/>
          <w:szCs w:val="28"/>
        </w:rPr>
        <w:lastRenderedPageBreak/>
        <w:t xml:space="preserve">(или)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C536F3">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w:t>
      </w:r>
      <w:r w:rsidRPr="001F1EB2">
        <w:rPr>
          <w:rFonts w:ascii="Times New Roman" w:eastAsia="Times New Roman" w:hAnsi="Times New Roman" w:cs="Times New Roman"/>
          <w:sz w:val="28"/>
          <w:szCs w:val="28"/>
          <w:lang w:eastAsia="ru-RU"/>
        </w:rPr>
        <w:lastRenderedPageBreak/>
        <w:t>размещенного на официальном сайте администрации в сети Инте</w:t>
      </w:r>
      <w:r w:rsidR="0052623D">
        <w:rPr>
          <w:rFonts w:ascii="Times New Roman" w:eastAsia="Times New Roman" w:hAnsi="Times New Roman" w:cs="Times New Roman"/>
          <w:sz w:val="28"/>
          <w:szCs w:val="28"/>
          <w:lang w:eastAsia="ru-RU"/>
        </w:rPr>
        <w:t>рнет (</w:t>
      </w:r>
      <w:r w:rsidR="0052623D" w:rsidRPr="0052623D">
        <w:rPr>
          <w:rFonts w:ascii="Times New Roman" w:hAnsi="Times New Roman" w:cs="Times New Roman"/>
          <w:sz w:val="28"/>
          <w:szCs w:val="28"/>
          <w:lang w:val="en-US"/>
        </w:rPr>
        <w:t>http</w:t>
      </w:r>
      <w:r w:rsidR="0052623D" w:rsidRPr="0052623D">
        <w:rPr>
          <w:rFonts w:ascii="Times New Roman" w:hAnsi="Times New Roman" w:cs="Times New Roman"/>
          <w:sz w:val="28"/>
          <w:szCs w:val="28"/>
        </w:rPr>
        <w:t xml:space="preserve">\\: </w:t>
      </w:r>
      <w:r w:rsidR="0052623D" w:rsidRPr="0052623D">
        <w:rPr>
          <w:rFonts w:ascii="Times New Roman" w:hAnsi="Times New Roman" w:cs="Times New Roman"/>
          <w:sz w:val="28"/>
          <w:szCs w:val="28"/>
          <w:lang w:val="en-US"/>
        </w:rPr>
        <w:t>ozerskoe</w:t>
      </w:r>
      <w:r w:rsidR="0052623D" w:rsidRPr="0052623D">
        <w:rPr>
          <w:rFonts w:ascii="Times New Roman" w:hAnsi="Times New Roman" w:cs="Times New Roman"/>
          <w:sz w:val="28"/>
          <w:szCs w:val="28"/>
        </w:rPr>
        <w:t>.ru</w:t>
      </w:r>
      <w:r w:rsidR="0052623D" w:rsidRPr="0052623D">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w:t>
      </w:r>
      <w:r w:rsidR="00D90680" w:rsidRPr="00D90680">
        <w:rPr>
          <w:rFonts w:ascii="Times New Roman" w:hAnsi="Times New Roman" w:cs="Times New Roman"/>
          <w:sz w:val="28"/>
          <w:szCs w:val="28"/>
        </w:rPr>
        <w:lastRenderedPageBreak/>
        <w:t>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52623D">
        <w:rPr>
          <w:rFonts w:ascii="Times New Roman" w:hAnsi="Times New Roman" w:cs="Times New Roman"/>
          <w:sz w:val="28"/>
          <w:szCs w:val="28"/>
        </w:rPr>
        <w:t xml:space="preserve">Озерского сельского поселения </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должностных лиц администрации в досудебном порядке, на </w:t>
      </w:r>
      <w:r>
        <w:rPr>
          <w:rFonts w:ascii="Times New Roman" w:hAnsi="Times New Roman" w:cs="Times New Roman"/>
          <w:color w:val="000000" w:themeColor="text1"/>
          <w:sz w:val="28"/>
          <w:szCs w:val="28"/>
        </w:rPr>
        <w:lastRenderedPageBreak/>
        <w:t>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Pr>
          <w:rFonts w:ascii="Times New Roman" w:hAnsi="Times New Roman" w:cs="Times New Roman"/>
          <w:color w:val="000000" w:themeColor="text1"/>
          <w:sz w:val="28"/>
          <w:szCs w:val="28"/>
        </w:rPr>
        <w:t xml:space="preserve"> Озерского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sidRPr="0052623D">
        <w:rPr>
          <w:rFonts w:ascii="Times New Roman" w:hAnsi="Times New Roman" w:cs="Times New Roman"/>
          <w:color w:val="000000" w:themeColor="text1"/>
          <w:sz w:val="28"/>
          <w:szCs w:val="28"/>
        </w:rPr>
        <w:t xml:space="preserve"> </w:t>
      </w:r>
      <w:r w:rsidR="0052623D">
        <w:rPr>
          <w:rFonts w:ascii="Times New Roman" w:hAnsi="Times New Roman" w:cs="Times New Roman"/>
          <w:color w:val="000000" w:themeColor="text1"/>
          <w:sz w:val="28"/>
          <w:szCs w:val="28"/>
        </w:rPr>
        <w:t xml:space="preserve">Озерского сельского поселения Бутурлиновского муниципального района Воронежской области </w:t>
      </w:r>
      <w:r>
        <w:rPr>
          <w:rFonts w:ascii="Times New Roman" w:hAnsi="Times New Roman" w:cs="Times New Roman"/>
          <w:color w:val="000000" w:themeColor="text1"/>
          <w:sz w:val="28"/>
          <w:szCs w:val="28"/>
        </w:rPr>
        <w:t>&gt;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sidRPr="0052623D">
        <w:rPr>
          <w:rFonts w:ascii="Times New Roman" w:hAnsi="Times New Roman" w:cs="Times New Roman"/>
          <w:color w:val="000000" w:themeColor="text1"/>
          <w:sz w:val="28"/>
          <w:szCs w:val="28"/>
        </w:rPr>
        <w:t xml:space="preserve"> </w:t>
      </w:r>
      <w:r w:rsidR="0052623D">
        <w:rPr>
          <w:rFonts w:ascii="Times New Roman" w:hAnsi="Times New Roman" w:cs="Times New Roman"/>
          <w:color w:val="000000" w:themeColor="text1"/>
          <w:sz w:val="28"/>
          <w:szCs w:val="28"/>
        </w:rPr>
        <w:t xml:space="preserve">Озерского сельского поселения Бутурлиновского муниципального района Воронежской области </w:t>
      </w:r>
      <w:r>
        <w:rPr>
          <w:rFonts w:ascii="Times New Roman" w:hAnsi="Times New Roman" w:cs="Times New Roman"/>
          <w:color w:val="000000" w:themeColor="text1"/>
          <w:sz w:val="28"/>
          <w:szCs w:val="28"/>
        </w:rPr>
        <w:t>&gt;;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91249">
        <w:rPr>
          <w:rFonts w:ascii="Times New Roman" w:hAnsi="Times New Roman" w:cs="Times New Roman"/>
          <w:color w:val="000000" w:themeColor="text1"/>
          <w:sz w:val="28"/>
          <w:szCs w:val="28"/>
        </w:rPr>
        <w:t xml:space="preserve">Озерского сельского поселения Бутурлиновского муниципального района Воронежской области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color w:val="000000" w:themeColor="text1"/>
          <w:sz w:val="28"/>
          <w:szCs w:val="28"/>
        </w:rPr>
        <w:lastRenderedPageBreak/>
        <w:t>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График работы администрации Озерского сельского поселения Бутурлиновского муниципального района Воронежской области:</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понедельник -  пятница: с 08.00 до 17.00; перерыв: с 12.00 до 14.00.</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E91249">
        <w:rPr>
          <w:rFonts w:ascii="Times New Roman" w:hAnsi="Times New Roman" w:cs="Times New Roman"/>
          <w:lang w:val="en-US"/>
        </w:rPr>
        <w:t>http</w:t>
      </w:r>
      <w:r w:rsidRPr="00E91249">
        <w:rPr>
          <w:rFonts w:ascii="Times New Roman" w:hAnsi="Times New Roman" w:cs="Times New Roman"/>
        </w:rPr>
        <w:t>://</w:t>
      </w:r>
      <w:r w:rsidRPr="00E91249">
        <w:rPr>
          <w:rFonts w:ascii="Times New Roman" w:hAnsi="Times New Roman" w:cs="Times New Roman"/>
          <w:lang w:val="en-US"/>
        </w:rPr>
        <w:t>ozerskoe</w:t>
      </w:r>
      <w:r w:rsidRPr="00E91249">
        <w:rPr>
          <w:rFonts w:ascii="Times New Roman" w:hAnsi="Times New Roman" w:cs="Times New Roman"/>
        </w:rPr>
        <w:t>.</w:t>
      </w:r>
      <w:r w:rsidRPr="00E91249">
        <w:rPr>
          <w:rFonts w:ascii="Times New Roman" w:hAnsi="Times New Roman" w:cs="Times New Roman"/>
          <w:lang w:val="en-US"/>
        </w:rPr>
        <w:t>ru</w:t>
      </w:r>
      <w:r w:rsidRPr="00E91249">
        <w:rPr>
          <w:rFonts w:ascii="Times New Roman" w:hAnsi="Times New Roman" w:cs="Times New Roman"/>
        </w:rPr>
        <w:t xml:space="preserve"> .</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4" w:history="1">
        <w:r w:rsidRPr="00E91249">
          <w:rPr>
            <w:rStyle w:val="a9"/>
            <w:rFonts w:ascii="Times New Roman" w:hAnsi="Times New Roman" w:cs="Times New Roman"/>
            <w:color w:val="000000"/>
          </w:rPr>
          <w:t>ozer.buturl@yandex.ru</w:t>
        </w:r>
      </w:hyperlink>
      <w:r w:rsidRPr="00E91249">
        <w:rPr>
          <w:rFonts w:ascii="Times New Roman" w:hAnsi="Times New Roman" w:cs="Times New Roman"/>
        </w:rPr>
        <w:t>.</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2. Телефоны для справок: 8(47361)59130.факс 8(47361)59131.</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3.1. Место нахождения АУ «МФЦ»: 394026, г. Воронеж, ул. Дружинников, 3б (Коминтерновский район).Телефон для справок АУ «МФЦ»: (473) 226-99-99.</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Официальный сайт АУ «МФЦ» в сети Интернет: mfc.vrn.ru.</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Адрес электронной почты АУ «МФЦ»: od№o-ok№o@mail.ru.</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График работы АУ «МФЦ»:</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lastRenderedPageBreak/>
        <w:t>вторник, четверг, пятница: с 09.00 до 18.00; среда: с 11.00 до 20.00;суббота: с 09.00 до 16.45.</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3.2. Место нахождения филиала АУ «МФЦ» в  Бутурлиновском муниципальном районе:</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397520,</w:t>
      </w:r>
      <w:r w:rsidRPr="00E91249">
        <w:rPr>
          <w:rFonts w:ascii="Times New Roman" w:hAnsi="Times New Roman" w:cs="Times New Roman"/>
          <w:color w:val="000000"/>
        </w:rPr>
        <w:t>Воронежская область, город Бутурлиновка, улица Красная, дом 10А</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Телефон для справок филиала АУ «МФЦ»: 8-47361-47-7-30.</w:t>
      </w:r>
    </w:p>
    <w:p w:rsidR="00E91249" w:rsidRPr="00E91249" w:rsidRDefault="00E91249" w:rsidP="00E91249">
      <w:pPr>
        <w:autoSpaceDE w:val="0"/>
        <w:autoSpaceDN w:val="0"/>
        <w:adjustRightInd w:val="0"/>
        <w:jc w:val="both"/>
        <w:rPr>
          <w:rFonts w:ascii="Times New Roman" w:hAnsi="Times New Roman" w:cs="Times New Roman"/>
        </w:rPr>
      </w:pPr>
      <w:r w:rsidRPr="00E91249">
        <w:rPr>
          <w:rFonts w:ascii="Times New Roman" w:hAnsi="Times New Roman" w:cs="Times New Roman"/>
        </w:rPr>
        <w:t>График работы филиала АУ «МФЦ»:вторник, четверг, пятница: с 08.00 до 17.00,  перерыв с 12.00 до 12.45;   среда:      с 11.00 до 20.00 ,                              перерыв с 15.00 до 15.45;</w:t>
      </w:r>
    </w:p>
    <w:p w:rsidR="00E91249" w:rsidRPr="00E91249" w:rsidRDefault="00E91249" w:rsidP="00E91249">
      <w:pPr>
        <w:tabs>
          <w:tab w:val="left" w:pos="1440"/>
          <w:tab w:val="left" w:pos="1560"/>
        </w:tabs>
        <w:jc w:val="both"/>
        <w:rPr>
          <w:rFonts w:ascii="Times New Roman" w:hAnsi="Times New Roman" w:cs="Times New Roman"/>
        </w:rPr>
      </w:pPr>
      <w:r w:rsidRPr="00E91249">
        <w:rPr>
          <w:rFonts w:ascii="Times New Roman" w:hAnsi="Times New Roman" w:cs="Times New Roman"/>
        </w:rPr>
        <w:t xml:space="preserve">  суббота: с 08.00 до 17.00 ,                                перерыв с 12.00  до  12.45;</w:t>
      </w:r>
    </w:p>
    <w:p w:rsidR="00E91249" w:rsidRPr="00E91249" w:rsidRDefault="00E91249" w:rsidP="00E91249">
      <w:pPr>
        <w:tabs>
          <w:tab w:val="left" w:pos="1440"/>
          <w:tab w:val="left" w:pos="1560"/>
        </w:tabs>
        <w:jc w:val="both"/>
        <w:rPr>
          <w:rFonts w:ascii="Times New Roman" w:hAnsi="Times New Roman" w:cs="Times New Roman"/>
          <w:vertAlign w:val="superscript"/>
        </w:rPr>
      </w:pPr>
      <w:r w:rsidRPr="00E91249">
        <w:rPr>
          <w:rFonts w:ascii="Times New Roman" w:hAnsi="Times New Roman" w:cs="Times New Roman"/>
        </w:rPr>
        <w:t xml:space="preserve">  воскресенье, понедельник - выходные дни.</w:t>
      </w:r>
    </w:p>
    <w:p w:rsidR="00F04160" w:rsidRPr="00E9124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3F6A72" w:rsidP="00D356B1">
      <w:pPr>
        <w:ind w:firstLine="709"/>
        <w:jc w:val="center"/>
        <w:rPr>
          <w:b/>
          <w:sz w:val="28"/>
          <w:szCs w:val="28"/>
          <w:highlight w:val="red"/>
        </w:rPr>
      </w:pPr>
      <w:r w:rsidRPr="003F6A72">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3F6A72" w:rsidP="00D356B1">
      <w:pPr>
        <w:ind w:firstLine="709"/>
        <w:jc w:val="center"/>
        <w:rPr>
          <w:b/>
          <w:sz w:val="28"/>
          <w:szCs w:val="28"/>
          <w:highlight w:val="red"/>
        </w:rPr>
      </w:pPr>
      <w:r w:rsidRPr="003F6A72">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3F6A72"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3F6A72"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sidRPr="003F6A72">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3F6A72" w:rsidP="00D356B1">
      <w:pPr>
        <w:ind w:firstLine="709"/>
        <w:jc w:val="center"/>
        <w:rPr>
          <w:b/>
          <w:sz w:val="28"/>
          <w:szCs w:val="28"/>
        </w:rPr>
      </w:pPr>
      <w:r w:rsidRPr="003F6A72">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3F6A72">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3F6A72" w:rsidP="00D356B1">
      <w:pPr>
        <w:ind w:firstLine="709"/>
        <w:jc w:val="center"/>
        <w:rPr>
          <w:b/>
          <w:sz w:val="28"/>
          <w:szCs w:val="28"/>
          <w:highlight w:val="red"/>
        </w:rPr>
      </w:pPr>
      <w:r w:rsidRPr="003F6A72">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3F6A72">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3F6A72"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3F6A72"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FB" w:rsidRDefault="00BA14FB" w:rsidP="00F04160">
      <w:pPr>
        <w:spacing w:after="0" w:line="240" w:lineRule="auto"/>
      </w:pPr>
      <w:r>
        <w:separator/>
      </w:r>
    </w:p>
  </w:endnote>
  <w:endnote w:type="continuationSeparator" w:id="1">
    <w:p w:rsidR="00BA14FB" w:rsidRDefault="00BA14F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FB" w:rsidRDefault="00BA14FB" w:rsidP="00F04160">
      <w:pPr>
        <w:spacing w:after="0" w:line="240" w:lineRule="auto"/>
      </w:pPr>
      <w:r>
        <w:separator/>
      </w:r>
    </w:p>
  </w:footnote>
  <w:footnote w:type="continuationSeparator" w:id="1">
    <w:p w:rsidR="00BA14FB" w:rsidRDefault="00BA14F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3F6A72"/>
    <w:rsid w:val="00405EB8"/>
    <w:rsid w:val="004149BD"/>
    <w:rsid w:val="004306FE"/>
    <w:rsid w:val="00436980"/>
    <w:rsid w:val="00455D3D"/>
    <w:rsid w:val="00465496"/>
    <w:rsid w:val="00474C98"/>
    <w:rsid w:val="004803AA"/>
    <w:rsid w:val="004B3F20"/>
    <w:rsid w:val="004C0BF9"/>
    <w:rsid w:val="004C2122"/>
    <w:rsid w:val="004E6F87"/>
    <w:rsid w:val="0051021E"/>
    <w:rsid w:val="005231AA"/>
    <w:rsid w:val="0052623D"/>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A7C4C"/>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A14FB"/>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E91249"/>
    <w:rsid w:val="00F04160"/>
    <w:rsid w:val="00F05BF7"/>
    <w:rsid w:val="00F14747"/>
    <w:rsid w:val="00F22F2D"/>
    <w:rsid w:val="00F603BE"/>
    <w:rsid w:val="00F60E53"/>
    <w:rsid w:val="00F67A18"/>
    <w:rsid w:val="00FA14FA"/>
    <w:rsid w:val="00FB55C4"/>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s://mail.yandex.ru/lite/compose?to=ozer.buturl@yandex.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26</Pages>
  <Words>8172</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187</cp:revision>
  <cp:lastPrinted>2015-09-29T10:56:00Z</cp:lastPrinted>
  <dcterms:created xsi:type="dcterms:W3CDTF">2015-06-18T11:20:00Z</dcterms:created>
  <dcterms:modified xsi:type="dcterms:W3CDTF">2016-05-20T08:20:00Z</dcterms:modified>
</cp:coreProperties>
</file>