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8" w:rsidRPr="00B501CB" w:rsidRDefault="000D7898" w:rsidP="000D78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01CB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B501CB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0D7898" w:rsidRPr="00B501CB" w:rsidRDefault="000D7898" w:rsidP="000D78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01CB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7418FE" w:rsidRPr="00B501C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501C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418FE" w:rsidRPr="00B501C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501C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418FE" w:rsidRPr="00B501C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D7898" w:rsidRPr="00B501CB" w:rsidRDefault="000D7898" w:rsidP="000D78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01CB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D7898" w:rsidRPr="00B501CB" w:rsidRDefault="007418FE" w:rsidP="000D7898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01C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D7898" w:rsidRPr="00B501C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B501C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D7898" w:rsidRPr="00B501CB">
        <w:rPr>
          <w:rFonts w:ascii="Times New Roman" w:hAnsi="Times New Roman"/>
          <w:b/>
          <w:caps/>
          <w:noProof/>
          <w:sz w:val="28"/>
          <w:szCs w:val="28"/>
        </w:rPr>
        <w:t>Старое Вечканово</w:t>
      </w:r>
      <w:r w:rsidRPr="00B501C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D7898" w:rsidRPr="00B501CB" w:rsidRDefault="000D7898" w:rsidP="000D78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7898" w:rsidRPr="00B501CB" w:rsidRDefault="000D7898" w:rsidP="000D78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01CB">
        <w:rPr>
          <w:rFonts w:ascii="Times New Roman" w:hAnsi="Times New Roman"/>
          <w:b/>
          <w:sz w:val="28"/>
          <w:szCs w:val="28"/>
        </w:rPr>
        <w:t>ПОСТАНОВЛЕНИЕ</w:t>
      </w:r>
    </w:p>
    <w:p w:rsidR="000D7898" w:rsidRDefault="000D7898" w:rsidP="00872798">
      <w:pPr>
        <w:jc w:val="center"/>
        <w:rPr>
          <w:b/>
          <w:sz w:val="28"/>
          <w:szCs w:val="28"/>
          <w:lang w:val="ru-RU"/>
        </w:rPr>
      </w:pPr>
      <w:r w:rsidRPr="00CE4D2A">
        <w:rPr>
          <w:b/>
          <w:sz w:val="28"/>
          <w:szCs w:val="28"/>
          <w:lang w:val="ru-RU"/>
        </w:rPr>
        <w:t>от 14  ноября 2023 года №</w:t>
      </w:r>
      <w:r w:rsidR="00872798" w:rsidRPr="00CE4D2A">
        <w:rPr>
          <w:b/>
          <w:sz w:val="28"/>
          <w:szCs w:val="28"/>
          <w:lang w:val="ru-RU"/>
        </w:rPr>
        <w:t xml:space="preserve"> 5</w:t>
      </w:r>
      <w:r w:rsidR="00872798">
        <w:rPr>
          <w:b/>
          <w:sz w:val="28"/>
          <w:szCs w:val="28"/>
          <w:lang w:val="ru-RU"/>
        </w:rPr>
        <w:t>8</w:t>
      </w:r>
      <w:r w:rsidRPr="00CE4D2A">
        <w:rPr>
          <w:b/>
          <w:sz w:val="28"/>
          <w:szCs w:val="28"/>
          <w:lang w:val="ru-RU"/>
        </w:rPr>
        <w:t xml:space="preserve"> </w:t>
      </w:r>
    </w:p>
    <w:p w:rsidR="00872798" w:rsidRPr="00872798" w:rsidRDefault="00872798" w:rsidP="00872798">
      <w:pPr>
        <w:jc w:val="center"/>
        <w:rPr>
          <w:b/>
          <w:sz w:val="28"/>
          <w:szCs w:val="28"/>
          <w:lang w:val="ru-RU"/>
        </w:rPr>
      </w:pPr>
    </w:p>
    <w:p w:rsidR="00BA5891" w:rsidRDefault="000D7898" w:rsidP="000D789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D7898">
        <w:rPr>
          <w:rStyle w:val="a5"/>
          <w:sz w:val="28"/>
          <w:szCs w:val="28"/>
        </w:rPr>
        <w:t xml:space="preserve">О внесении изменений в Постановление администрации сельского поселения Старое Вечканово от 10.03.2022 года № 19 «Об утверждении </w:t>
      </w:r>
      <w:proofErr w:type="gramStart"/>
      <w:r w:rsidRPr="000D7898">
        <w:rPr>
          <w:rStyle w:val="a5"/>
          <w:sz w:val="28"/>
          <w:szCs w:val="28"/>
        </w:rPr>
        <w:t>Программы развития систем коммунальной инфраструктуры сельского поселения</w:t>
      </w:r>
      <w:proofErr w:type="gramEnd"/>
      <w:r w:rsidRPr="000D7898">
        <w:rPr>
          <w:rStyle w:val="a5"/>
          <w:sz w:val="28"/>
          <w:szCs w:val="28"/>
        </w:rPr>
        <w:t xml:space="preserve"> Старое Вечканово муниципального района Исаклинский Самарской области на период с 2022 по 2032 год»</w:t>
      </w:r>
    </w:p>
    <w:p w:rsidR="00872798" w:rsidRPr="000D7898" w:rsidRDefault="00872798" w:rsidP="000D789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A5891" w:rsidRDefault="00BA5891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6293" w:rsidRPr="006E6293">
        <w:rPr>
          <w:rFonts w:ascii="Times New Roman" w:hAnsi="Times New Roman" w:cs="Times New Roman"/>
          <w:b w:val="0"/>
          <w:sz w:val="28"/>
          <w:szCs w:val="28"/>
        </w:rPr>
        <w:t xml:space="preserve">Старое Вечканово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</w:p>
    <w:p w:rsidR="00BA5891" w:rsidRPr="00D05732" w:rsidRDefault="00BA5891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891" w:rsidRPr="009F061B" w:rsidRDefault="00BA5891" w:rsidP="00BA5891">
      <w:pPr>
        <w:spacing w:line="360" w:lineRule="auto"/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  <w:lang w:val="ru-RU"/>
        </w:rPr>
        <w:t xml:space="preserve">Постановление </w:t>
      </w:r>
      <w:r w:rsidRPr="009F061B">
        <w:rPr>
          <w:sz w:val="28"/>
          <w:szCs w:val="28"/>
          <w:lang w:val="ru-RU"/>
        </w:rPr>
        <w:t xml:space="preserve">Администрации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5273AE">
        <w:rPr>
          <w:sz w:val="28"/>
          <w:szCs w:val="28"/>
          <w:lang w:val="ru-RU"/>
        </w:rPr>
        <w:t>Старое Вечканово</w:t>
      </w:r>
      <w:r w:rsidR="00852FF4" w:rsidRPr="00852FF4">
        <w:rPr>
          <w:sz w:val="28"/>
          <w:szCs w:val="28"/>
          <w:lang w:val="ru-RU"/>
        </w:rPr>
        <w:t xml:space="preserve"> </w:t>
      </w:r>
      <w:r w:rsidRPr="009F061B">
        <w:rPr>
          <w:sz w:val="28"/>
          <w:szCs w:val="28"/>
          <w:lang w:val="ru-RU"/>
        </w:rPr>
        <w:t xml:space="preserve">от </w:t>
      </w:r>
      <w:r w:rsidR="006E6293">
        <w:rPr>
          <w:sz w:val="28"/>
          <w:szCs w:val="28"/>
          <w:lang w:val="ru-RU"/>
        </w:rPr>
        <w:t>10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6E6293">
        <w:rPr>
          <w:sz w:val="28"/>
          <w:szCs w:val="28"/>
          <w:lang w:val="ru-RU"/>
        </w:rPr>
        <w:t>3</w:t>
      </w:r>
      <w:r w:rsidRPr="009F061B">
        <w:rPr>
          <w:sz w:val="28"/>
          <w:szCs w:val="28"/>
          <w:lang w:val="ru-RU"/>
        </w:rPr>
        <w:t>.20</w:t>
      </w:r>
      <w:r w:rsidR="00852FF4">
        <w:rPr>
          <w:sz w:val="28"/>
          <w:szCs w:val="28"/>
          <w:lang w:val="ru-RU"/>
        </w:rPr>
        <w:t>2</w:t>
      </w:r>
      <w:r w:rsidR="006E6293">
        <w:rPr>
          <w:sz w:val="28"/>
          <w:szCs w:val="28"/>
          <w:lang w:val="ru-RU"/>
        </w:rPr>
        <w:t>2</w:t>
      </w:r>
      <w:r w:rsidRPr="009F061B">
        <w:rPr>
          <w:sz w:val="28"/>
          <w:szCs w:val="28"/>
          <w:lang w:val="ru-RU"/>
        </w:rPr>
        <w:t xml:space="preserve"> года № </w:t>
      </w:r>
      <w:r w:rsidR="008808C3">
        <w:rPr>
          <w:sz w:val="28"/>
          <w:szCs w:val="28"/>
          <w:lang w:val="ru-RU"/>
        </w:rPr>
        <w:t>1</w:t>
      </w:r>
      <w:r w:rsidR="006E6293">
        <w:rPr>
          <w:sz w:val="28"/>
          <w:szCs w:val="28"/>
          <w:lang w:val="ru-RU"/>
        </w:rPr>
        <w:t>9</w:t>
      </w:r>
      <w:r w:rsidR="005273AE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б утверждении </w:t>
      </w:r>
      <w:proofErr w:type="gramStart"/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систем </w:t>
      </w:r>
      <w:r w:rsidR="00DC0648" w:rsidRPr="00DC0648">
        <w:rPr>
          <w:sz w:val="28"/>
          <w:szCs w:val="28"/>
          <w:lang w:val="ru-RU"/>
        </w:rPr>
        <w:t>коммунальной</w:t>
      </w:r>
      <w:r w:rsidR="008808C3" w:rsidRPr="008808C3">
        <w:rPr>
          <w:sz w:val="28"/>
          <w:szCs w:val="28"/>
          <w:lang w:val="ru-RU"/>
        </w:rPr>
        <w:t xml:space="preserve"> инфраструктуры сельского поселения</w:t>
      </w:r>
      <w:proofErr w:type="gramEnd"/>
      <w:r w:rsidR="005273AE">
        <w:rPr>
          <w:sz w:val="28"/>
          <w:szCs w:val="28"/>
          <w:lang w:val="ru-RU"/>
        </w:rPr>
        <w:t xml:space="preserve"> </w:t>
      </w:r>
      <w:r w:rsidR="006E6293" w:rsidRPr="006E6293">
        <w:rPr>
          <w:sz w:val="28"/>
          <w:szCs w:val="28"/>
          <w:lang w:val="ru-RU"/>
        </w:rPr>
        <w:t xml:space="preserve">Старое Вечканово </w:t>
      </w:r>
      <w:r w:rsidR="008808C3" w:rsidRPr="008808C3">
        <w:rPr>
          <w:sz w:val="28"/>
          <w:szCs w:val="28"/>
          <w:lang w:val="ru-RU"/>
        </w:rPr>
        <w:t>муниципального района Исаклинский Самарской области на период с 20</w:t>
      </w:r>
      <w:r w:rsidR="00852FF4">
        <w:rPr>
          <w:sz w:val="28"/>
          <w:szCs w:val="28"/>
          <w:lang w:val="ru-RU"/>
        </w:rPr>
        <w:t>2</w:t>
      </w:r>
      <w:r w:rsidR="006E6293">
        <w:rPr>
          <w:sz w:val="28"/>
          <w:szCs w:val="28"/>
          <w:lang w:val="ru-RU"/>
        </w:rPr>
        <w:t>2</w:t>
      </w:r>
      <w:r w:rsidR="008808C3" w:rsidRPr="008808C3">
        <w:rPr>
          <w:sz w:val="28"/>
          <w:szCs w:val="28"/>
          <w:lang w:val="ru-RU"/>
        </w:rPr>
        <w:t xml:space="preserve"> по  203</w:t>
      </w:r>
      <w:r w:rsidR="006E6293">
        <w:rPr>
          <w:sz w:val="28"/>
          <w:szCs w:val="28"/>
          <w:lang w:val="ru-RU"/>
        </w:rPr>
        <w:t>2</w:t>
      </w:r>
      <w:r w:rsidR="008808C3" w:rsidRPr="008808C3">
        <w:rPr>
          <w:sz w:val="28"/>
          <w:szCs w:val="28"/>
          <w:lang w:val="ru-RU"/>
        </w:rPr>
        <w:t xml:space="preserve"> год</w:t>
      </w:r>
      <w:r w:rsidR="005273AE">
        <w:rPr>
          <w:sz w:val="28"/>
          <w:szCs w:val="28"/>
          <w:lang w:val="ru-RU"/>
        </w:rPr>
        <w:t>»</w:t>
      </w:r>
      <w:r w:rsidRPr="009F061B">
        <w:rPr>
          <w:sz w:val="28"/>
          <w:szCs w:val="28"/>
          <w:lang w:val="ru-RU"/>
        </w:rPr>
        <w:t xml:space="preserve"> следующие изменения:</w:t>
      </w:r>
    </w:p>
    <w:p w:rsidR="00BA5891" w:rsidRPr="00EF4C3A" w:rsidRDefault="00BA5891" w:rsidP="00BA5891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систем </w:t>
      </w:r>
      <w:r w:rsidR="00DC0648" w:rsidRPr="00DC0648">
        <w:rPr>
          <w:sz w:val="28"/>
          <w:szCs w:val="28"/>
        </w:rPr>
        <w:t>коммунальной</w:t>
      </w:r>
      <w:r w:rsidR="008808C3" w:rsidRPr="008808C3">
        <w:rPr>
          <w:sz w:val="28"/>
          <w:szCs w:val="28"/>
        </w:rPr>
        <w:t xml:space="preserve"> инфраструктуры сельского поселения </w:t>
      </w:r>
      <w:r w:rsidR="006E6293" w:rsidRPr="006E6293">
        <w:rPr>
          <w:sz w:val="28"/>
          <w:szCs w:val="28"/>
        </w:rPr>
        <w:t xml:space="preserve">Старое Вечканово </w:t>
      </w:r>
      <w:r w:rsidR="008808C3" w:rsidRPr="008808C3">
        <w:rPr>
          <w:sz w:val="28"/>
          <w:szCs w:val="28"/>
        </w:rPr>
        <w:t>муниципального района Исаклинский Самарской области на период с 20</w:t>
      </w:r>
      <w:r w:rsidR="00852FF4">
        <w:rPr>
          <w:sz w:val="28"/>
          <w:szCs w:val="28"/>
        </w:rPr>
        <w:t>2</w:t>
      </w:r>
      <w:r w:rsidR="006E6293">
        <w:rPr>
          <w:sz w:val="28"/>
          <w:szCs w:val="28"/>
        </w:rPr>
        <w:t>2</w:t>
      </w:r>
      <w:r w:rsidR="008808C3" w:rsidRPr="008808C3">
        <w:rPr>
          <w:sz w:val="28"/>
          <w:szCs w:val="28"/>
        </w:rPr>
        <w:t xml:space="preserve"> по  203</w:t>
      </w:r>
      <w:r w:rsidR="006E6293">
        <w:rPr>
          <w:sz w:val="28"/>
          <w:szCs w:val="28"/>
        </w:rPr>
        <w:t>2</w:t>
      </w:r>
      <w:r w:rsidR="008808C3" w:rsidRPr="008808C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A5891" w:rsidRDefault="00BA5891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r>
        <w:rPr>
          <w:rStyle w:val="a5"/>
          <w:rFonts w:cs="Times New Roman"/>
          <w:b w:val="0"/>
          <w:sz w:val="28"/>
          <w:szCs w:val="28"/>
          <w:lang w:val="ru-RU"/>
        </w:rPr>
        <w:t xml:space="preserve">- </w:t>
      </w:r>
      <w:r w:rsidR="00EE5F00">
        <w:rPr>
          <w:rStyle w:val="a5"/>
          <w:rFonts w:cs="Times New Roman"/>
          <w:b w:val="0"/>
          <w:sz w:val="28"/>
          <w:szCs w:val="28"/>
          <w:lang w:val="ru-RU"/>
        </w:rPr>
        <w:t xml:space="preserve">в Разделе </w:t>
      </w:r>
      <w:r w:rsidR="006E6293">
        <w:rPr>
          <w:rStyle w:val="a5"/>
          <w:rFonts w:cs="Times New Roman"/>
          <w:b w:val="0"/>
          <w:sz w:val="28"/>
          <w:szCs w:val="28"/>
          <w:lang w:val="ru-RU"/>
        </w:rPr>
        <w:t>5</w:t>
      </w:r>
      <w:r w:rsidR="005273AE">
        <w:rPr>
          <w:rStyle w:val="a5"/>
          <w:rFonts w:cs="Times New Roman"/>
          <w:b w:val="0"/>
          <w:sz w:val="28"/>
          <w:szCs w:val="28"/>
          <w:lang w:val="ru-RU"/>
        </w:rPr>
        <w:t xml:space="preserve"> </w:t>
      </w:r>
      <w:r w:rsidR="00DC0648" w:rsidRPr="00DC0648">
        <w:rPr>
          <w:rStyle w:val="a5"/>
          <w:rFonts w:cs="Times New Roman"/>
          <w:b w:val="0"/>
          <w:sz w:val="28"/>
          <w:szCs w:val="28"/>
          <w:lang w:val="ru-RU"/>
        </w:rPr>
        <w:t>Таблиц</w:t>
      </w:r>
      <w:r w:rsidR="00DC0648">
        <w:rPr>
          <w:rStyle w:val="a5"/>
          <w:rFonts w:cs="Times New Roman"/>
          <w:b w:val="0"/>
          <w:sz w:val="28"/>
          <w:szCs w:val="28"/>
          <w:lang w:val="ru-RU"/>
        </w:rPr>
        <w:t>у</w:t>
      </w:r>
      <w:r w:rsidR="005273AE">
        <w:rPr>
          <w:rStyle w:val="a5"/>
          <w:rFonts w:cs="Times New Roman"/>
          <w:b w:val="0"/>
          <w:sz w:val="28"/>
          <w:szCs w:val="28"/>
          <w:lang w:val="ru-RU"/>
        </w:rPr>
        <w:t xml:space="preserve"> </w:t>
      </w:r>
      <w:r w:rsidR="006E6293">
        <w:rPr>
          <w:rStyle w:val="a5"/>
          <w:rFonts w:cs="Times New Roman"/>
          <w:b w:val="0"/>
          <w:sz w:val="28"/>
          <w:szCs w:val="28"/>
          <w:lang w:val="ru-RU"/>
        </w:rPr>
        <w:t>2</w:t>
      </w:r>
      <w:r w:rsidR="00852FF4">
        <w:rPr>
          <w:rStyle w:val="a5"/>
          <w:rFonts w:cs="Times New Roman"/>
          <w:b w:val="0"/>
          <w:sz w:val="28"/>
          <w:szCs w:val="28"/>
          <w:lang w:val="ru-RU"/>
        </w:rPr>
        <w:t>1</w:t>
      </w:r>
      <w:r w:rsidR="00DC0648" w:rsidRPr="00DC0648">
        <w:rPr>
          <w:rStyle w:val="a5"/>
          <w:rFonts w:cs="Times New Roman"/>
          <w:b w:val="0"/>
          <w:sz w:val="28"/>
          <w:szCs w:val="28"/>
          <w:lang w:val="ru-RU"/>
        </w:rPr>
        <w:t xml:space="preserve">– </w:t>
      </w:r>
      <w:r w:rsidR="005273AE">
        <w:rPr>
          <w:rStyle w:val="a5"/>
          <w:rFonts w:cs="Times New Roman"/>
          <w:b w:val="0"/>
          <w:sz w:val="28"/>
          <w:szCs w:val="28"/>
          <w:lang w:val="ru-RU"/>
        </w:rPr>
        <w:t>«</w:t>
      </w:r>
      <w:r w:rsidR="006E6293" w:rsidRPr="006E6293">
        <w:rPr>
          <w:rStyle w:val="a5"/>
          <w:rFonts w:cs="Times New Roman"/>
          <w:b w:val="0"/>
          <w:sz w:val="28"/>
          <w:szCs w:val="28"/>
          <w:lang w:val="ru-RU"/>
        </w:rPr>
        <w:t>Список планируемых мероприятий</w:t>
      </w:r>
      <w:r w:rsidR="005273AE">
        <w:rPr>
          <w:rStyle w:val="a5"/>
          <w:rFonts w:cs="Times New Roman"/>
          <w:b w:val="0"/>
          <w:sz w:val="28"/>
          <w:szCs w:val="28"/>
          <w:lang w:val="ru-RU"/>
        </w:rPr>
        <w:t>»</w:t>
      </w:r>
      <w:r w:rsidR="00DC0648">
        <w:rPr>
          <w:rStyle w:val="a5"/>
          <w:rFonts w:cs="Times New Roman"/>
          <w:b w:val="0"/>
          <w:sz w:val="28"/>
          <w:szCs w:val="28"/>
          <w:lang w:val="ru-RU"/>
        </w:rPr>
        <w:t xml:space="preserve"> изложить в новой редакции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>:</w:t>
      </w: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872798" w:rsidRPr="00872798" w:rsidRDefault="00872798" w:rsidP="00872798">
      <w:pPr>
        <w:tabs>
          <w:tab w:val="left" w:pos="7815"/>
        </w:tabs>
        <w:rPr>
          <w:rFonts w:cs="Times New Roman"/>
          <w:sz w:val="28"/>
          <w:szCs w:val="28"/>
          <w:lang w:val="ru-RU"/>
        </w:rPr>
      </w:pPr>
    </w:p>
    <w:p w:rsidR="00872798" w:rsidRDefault="00872798" w:rsidP="00872798">
      <w:pPr>
        <w:rPr>
          <w:rFonts w:cs="Times New Roman"/>
          <w:sz w:val="28"/>
          <w:szCs w:val="28"/>
          <w:lang w:val="ru-RU"/>
        </w:rPr>
      </w:pPr>
    </w:p>
    <w:p w:rsidR="00DC0648" w:rsidRPr="00872798" w:rsidRDefault="00DC0648" w:rsidP="00872798">
      <w:pPr>
        <w:rPr>
          <w:rFonts w:cs="Times New Roman"/>
          <w:sz w:val="28"/>
          <w:szCs w:val="28"/>
          <w:lang w:val="ru-RU"/>
        </w:rPr>
        <w:sectPr w:rsidR="00DC0648" w:rsidRPr="00872798" w:rsidSect="00DC0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E6293" w:rsidRPr="00CE4D2A" w:rsidTr="00FA5DE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№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Назначение и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Местоположение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Вид работ, который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планируется в целях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Срок,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до которого планируется размещение объекта, 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Характеристики зон с особыми условиями использования территорий (ЗСО)</w:t>
            </w:r>
          </w:p>
        </w:tc>
      </w:tr>
      <w:tr w:rsidR="006E6293" w:rsidRPr="006E6293" w:rsidTr="00FA5DE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Протяженность, 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619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 селе Старое Вечканово по ул. 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Кировская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, № 3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0,688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 w:val="restart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селе Старое Вечканово, на площадке № 1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1,908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</w:t>
            </w:r>
            <w:r w:rsidR="005273A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Семь Ключей, по </w:t>
            </w:r>
            <w:proofErr w:type="spellStart"/>
            <w:r w:rsidR="005273A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spellEnd"/>
            <w:proofErr w:type="gramStart"/>
            <w:r w:rsidR="005273A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.</w:t>
            </w:r>
            <w:proofErr w:type="spellStart"/>
            <w:proofErr w:type="gramEnd"/>
            <w:r w:rsidR="005273A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Мокшановка</w:t>
            </w:r>
            <w:proofErr w:type="spellEnd"/>
            <w:r w:rsidR="005273A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№4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0,739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емь Ключей, на площадке № 2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0,588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 поселке Сокский, по ул. 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Первомайской</w:t>
            </w:r>
            <w:proofErr w:type="gramEnd"/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0,061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61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 Сокский, на площадке № 3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0,995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Водозабор 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емь Ключей, в юго-западной части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96 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Водозабор 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 Сокский, на ул. № 6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132куб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Водозабор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 Сокский, ниже ул. № 4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строительство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–132 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55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Водозабор </w:t>
            </w:r>
          </w:p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 поселке Сокский по ул. 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–132 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Водозабор </w:t>
            </w:r>
          </w:p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селе Старое Вечканово, на севере за границей села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–234 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Водозабор </w:t>
            </w:r>
          </w:p>
          <w:p w:rsidR="006E6293" w:rsidRPr="006E6293" w:rsidRDefault="006E6293" w:rsidP="006E6293">
            <w:pPr>
              <w:widowControl/>
              <w:suppressAutoHyphens w:val="0"/>
              <w:jc w:val="both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деревне Черная Речка, на востоке за границей деревни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производительности на –70 куб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13.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селе Старое Вечканово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rPr>
                <w:rFonts w:ascii="Cambria" w:eastAsia="MS Mincho" w:hAnsi="Cambria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8,3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деревне Черная Речка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rPr>
                <w:rFonts w:ascii="Cambria" w:eastAsia="MS Mincho" w:hAnsi="Cambria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2,5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 Сокский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rPr>
                <w:rFonts w:ascii="Cambria" w:eastAsia="MS Mincho" w:hAnsi="Cambria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2245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 поселке</w:t>
            </w:r>
            <w:proofErr w:type="gramStart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емь Ключей</w:t>
            </w:r>
          </w:p>
        </w:tc>
        <w:tc>
          <w:tcPr>
            <w:tcW w:w="1559" w:type="dxa"/>
          </w:tcPr>
          <w:p w:rsidR="006E6293" w:rsidRPr="006E6293" w:rsidRDefault="006E6293" w:rsidP="006E6293">
            <w:pPr>
              <w:widowControl/>
              <w:suppressAutoHyphens w:val="0"/>
              <w:rPr>
                <w:rFonts w:ascii="Cambria" w:eastAsia="MS Mincho" w:hAnsi="Cambria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реконструкция</w:t>
            </w:r>
          </w:p>
        </w:tc>
        <w:tc>
          <w:tcPr>
            <w:tcW w:w="1417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6E6293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2693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Канализационная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насосная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станция</w:t>
            </w:r>
            <w:proofErr w:type="spellEnd"/>
          </w:p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поселке Сокский,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Центральная</w:t>
            </w:r>
            <w:proofErr w:type="spellEnd"/>
            <w:proofErr w:type="gramEnd"/>
            <w:r w:rsidRPr="00515C7B">
              <w:rPr>
                <w:sz w:val="20"/>
                <w:szCs w:val="20"/>
              </w:rPr>
              <w:t xml:space="preserve"> и </w:t>
            </w:r>
            <w:proofErr w:type="spellStart"/>
            <w:r w:rsidRPr="00515C7B">
              <w:rPr>
                <w:sz w:val="20"/>
                <w:szCs w:val="20"/>
              </w:rPr>
              <w:t>Сокская</w:t>
            </w:r>
            <w:proofErr w:type="spell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производительность – до 60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куб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6E6293">
              <w:rPr>
                <w:sz w:val="20"/>
                <w:szCs w:val="20"/>
                <w:lang w:val="ru-RU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Канализационная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насосная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станция</w:t>
            </w:r>
            <w:proofErr w:type="spellEnd"/>
          </w:p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поселке Сокский,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Полевая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производительность – до 130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куб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6E6293">
              <w:rPr>
                <w:sz w:val="20"/>
                <w:szCs w:val="20"/>
                <w:lang w:val="ru-RU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Сети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канализации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6293">
              <w:rPr>
                <w:sz w:val="20"/>
                <w:szCs w:val="20"/>
                <w:lang w:val="ru-RU"/>
              </w:rPr>
              <w:t>в поселке Сокский, по ул. Школьная, Полевая, Луговая, № 5, Молодежная, Ново-Садовая, Садовая, Заводская, Совхозная, центральная</w:t>
            </w:r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3,841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безнапорные</w:t>
            </w:r>
            <w:proofErr w:type="spellEnd"/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245" w:type="dxa"/>
          </w:tcPr>
          <w:p w:rsidR="006E6293" w:rsidRPr="006E6293" w:rsidRDefault="006E6293" w:rsidP="00FA5DE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2,940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напорные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Сети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канализации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 Сокский, на площадке № 2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0,834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безнапорные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CE4D2A" w:rsidTr="00FA5DED">
        <w:trPr>
          <w:cantSplit/>
          <w:trHeight w:val="460"/>
        </w:trPr>
        <w:tc>
          <w:tcPr>
            <w:tcW w:w="540" w:type="dxa"/>
          </w:tcPr>
          <w:p w:rsidR="006E6293" w:rsidRP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Канализационные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очистные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сооружения</w:t>
            </w:r>
            <w:proofErr w:type="spellEnd"/>
          </w:p>
          <w:p w:rsidR="006E6293" w:rsidRPr="00515C7B" w:rsidRDefault="006E6293" w:rsidP="00FA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поселке Сокский на северо-западе за границей поселка на территории сельского поселения </w:t>
            </w:r>
            <w:r w:rsidRPr="006E6293">
              <w:rPr>
                <w:bCs/>
                <w:sz w:val="20"/>
                <w:szCs w:val="20"/>
                <w:lang w:val="ru-RU"/>
              </w:rPr>
              <w:t>Старое Вечканово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(производительность – до 400 куб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6E6293">
              <w:rPr>
                <w:sz w:val="20"/>
                <w:szCs w:val="20"/>
                <w:lang w:val="ru-RU"/>
              </w:rPr>
              <w:t>сут</w:t>
            </w:r>
            <w:proofErr w:type="spellEnd"/>
            <w:r w:rsidRPr="006E6293">
              <w:rPr>
                <w:sz w:val="20"/>
                <w:szCs w:val="20"/>
                <w:lang w:val="ru-RU"/>
              </w:rPr>
              <w:t>);</w:t>
            </w:r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селе Старое Вечканово, на площадке № 1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160кВА-1шт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атмосферный воздух, а также результатов натурных измерений.</w:t>
            </w: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селе Старое Вечканово, на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Кировская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160кВА-1шт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селе Старое Вечканово, на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Полевая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250кВА-1шт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519F8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селе Старое Вечканово,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Советская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250кВА-1шт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емь Ключей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ул. №4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250кВА-1шт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 Сокский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ул. Парковая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400кВА-1шт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 xml:space="preserve">в </w:t>
            </w:r>
            <w:proofErr w:type="spellStart"/>
            <w:r w:rsidRPr="00515C7B">
              <w:rPr>
                <w:sz w:val="20"/>
                <w:szCs w:val="20"/>
              </w:rPr>
              <w:t>поселке</w:t>
            </w:r>
            <w:proofErr w:type="spellEnd"/>
            <w:r w:rsidRPr="00515C7B">
              <w:rPr>
                <w:sz w:val="20"/>
                <w:szCs w:val="20"/>
              </w:rPr>
              <w:t xml:space="preserve"> Сокский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C7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15C7B">
              <w:rPr>
                <w:sz w:val="20"/>
                <w:szCs w:val="20"/>
              </w:rPr>
              <w:t>. №4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400кВА-1шт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 Сокский</w:t>
            </w:r>
          </w:p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а/д “Урал» - Сокский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реконструкция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250кВА-1шт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Трансформаторные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 xml:space="preserve">в </w:t>
            </w:r>
            <w:proofErr w:type="spellStart"/>
            <w:r w:rsidRPr="00515C7B">
              <w:rPr>
                <w:sz w:val="20"/>
                <w:szCs w:val="20"/>
              </w:rPr>
              <w:t>поселке</w:t>
            </w:r>
            <w:proofErr w:type="spellEnd"/>
            <w:r w:rsidRPr="00515C7B">
              <w:rPr>
                <w:sz w:val="20"/>
                <w:szCs w:val="20"/>
              </w:rPr>
              <w:t xml:space="preserve"> Сокский </w:t>
            </w:r>
            <w:proofErr w:type="spellStart"/>
            <w:r w:rsidRPr="00515C7B">
              <w:rPr>
                <w:sz w:val="20"/>
                <w:szCs w:val="20"/>
              </w:rPr>
              <w:t>очистныесооружения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ТП-10/0,4кВ </w:t>
            </w:r>
          </w:p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1 Х 63кВА-1шт</w:t>
            </w:r>
          </w:p>
        </w:tc>
        <w:tc>
          <w:tcPr>
            <w:tcW w:w="2551" w:type="dxa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Воздушные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линии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 Сокский очистные сооружения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0,15</w:t>
            </w:r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напряжение</w:t>
            </w:r>
            <w:proofErr w:type="spellEnd"/>
            <w:r w:rsidRPr="00515C7B">
              <w:rPr>
                <w:sz w:val="20"/>
                <w:szCs w:val="20"/>
              </w:rPr>
              <w:t xml:space="preserve"> – 10 </w:t>
            </w:r>
            <w:proofErr w:type="spellStart"/>
            <w:r w:rsidRPr="00515C7B">
              <w:rPr>
                <w:sz w:val="20"/>
                <w:szCs w:val="20"/>
              </w:rPr>
              <w:t>кВ</w:t>
            </w:r>
            <w:proofErr w:type="spellEnd"/>
          </w:p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6293">
              <w:rPr>
                <w:sz w:val="20"/>
                <w:szCs w:val="20"/>
                <w:lang w:val="ru-RU"/>
              </w:rPr>
              <w:t xml:space="preserve">В соответствии с Правилами установления </w:t>
            </w:r>
            <w:r w:rsidRPr="006E6293">
              <w:rPr>
                <w:sz w:val="20"/>
                <w:szCs w:val="20"/>
                <w:lang w:val="ru-RU"/>
              </w:rPr>
              <w:lastRenderedPageBreak/>
              <w:t>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160, размер охранной зоны – 10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6E6293" w:rsidTr="001B6704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Воздушные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линии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селе Старое Вечканово на площадке № 1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напряжение</w:t>
            </w:r>
            <w:proofErr w:type="spellEnd"/>
            <w:r w:rsidRPr="00515C7B">
              <w:rPr>
                <w:sz w:val="20"/>
                <w:szCs w:val="20"/>
              </w:rPr>
              <w:t xml:space="preserve"> – 10 </w:t>
            </w:r>
            <w:proofErr w:type="spellStart"/>
            <w:r w:rsidRPr="00515C7B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6E6293" w:rsidRPr="006E6293" w:rsidRDefault="006E6293" w:rsidP="00FA5D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CE4D2A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bookmarkStart w:id="0" w:name="_GoBack" w:colFirst="1" w:colLast="1"/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Газопровод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селе Старое Вечканово, в том числе:</w:t>
            </w:r>
          </w:p>
        </w:tc>
        <w:tc>
          <w:tcPr>
            <w:tcW w:w="1559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из полиэтиленовых труб подземных газопроводов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bookmarkEnd w:id="0"/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6E6293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Кировская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площадке</w:t>
            </w:r>
            <w:proofErr w:type="spellEnd"/>
            <w:r w:rsidRPr="00515C7B">
              <w:rPr>
                <w:sz w:val="20"/>
                <w:szCs w:val="20"/>
              </w:rPr>
              <w:t xml:space="preserve"> № 1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2,87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площадке</w:t>
            </w:r>
            <w:proofErr w:type="spellEnd"/>
            <w:r w:rsidRPr="00515C7B">
              <w:rPr>
                <w:sz w:val="20"/>
                <w:szCs w:val="20"/>
              </w:rPr>
              <w:t xml:space="preserve"> № 1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высокого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CE4D2A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Газопровод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 Сокский, в том числе:</w:t>
            </w:r>
          </w:p>
        </w:tc>
        <w:tc>
          <w:tcPr>
            <w:tcW w:w="1559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6E6293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Ново-Садовая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Первомайская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высокого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Луговая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proofErr w:type="gramStart"/>
            <w:r w:rsidRPr="00515C7B">
              <w:rPr>
                <w:sz w:val="20"/>
                <w:szCs w:val="20"/>
              </w:rPr>
              <w:t>Полевая</w:t>
            </w:r>
            <w:proofErr w:type="spellEnd"/>
            <w:proofErr w:type="gram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площадке</w:t>
            </w:r>
            <w:proofErr w:type="spellEnd"/>
            <w:r w:rsidRPr="00515C7B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1,4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CE4D2A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Газопровод</w:t>
            </w:r>
            <w:proofErr w:type="spellEnd"/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поселке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емь Ключей, в том числе:</w:t>
            </w:r>
          </w:p>
        </w:tc>
        <w:tc>
          <w:tcPr>
            <w:tcW w:w="1559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6E6293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на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площадке</w:t>
            </w:r>
            <w:proofErr w:type="spellEnd"/>
            <w:r w:rsidRPr="00515C7B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1,13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высокогодавления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уплотнение существующей застройки по ул. </w:t>
            </w:r>
            <w:proofErr w:type="spellStart"/>
            <w:r w:rsidRPr="00515C7B">
              <w:rPr>
                <w:sz w:val="20"/>
                <w:szCs w:val="20"/>
              </w:rPr>
              <w:t>Мокшановка</w:t>
            </w:r>
            <w:proofErr w:type="spell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6E6293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Газопровод</w:t>
            </w:r>
            <w:proofErr w:type="spellEnd"/>
          </w:p>
        </w:tc>
        <w:tc>
          <w:tcPr>
            <w:tcW w:w="2330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293">
              <w:rPr>
                <w:sz w:val="20"/>
                <w:szCs w:val="20"/>
                <w:lang w:val="ru-RU"/>
              </w:rPr>
              <w:t xml:space="preserve">в деревне Черная Речка, уплотнение существующей застройки по ул. </w:t>
            </w:r>
            <w:proofErr w:type="spellStart"/>
            <w:r w:rsidRPr="00515C7B">
              <w:rPr>
                <w:sz w:val="20"/>
                <w:szCs w:val="20"/>
              </w:rPr>
              <w:t>Молодежная</w:t>
            </w:r>
            <w:proofErr w:type="spellEnd"/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низкого</w:t>
            </w:r>
            <w:proofErr w:type="spellEnd"/>
            <w:r w:rsidR="00551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давления</w:t>
            </w:r>
            <w:proofErr w:type="spellEnd"/>
          </w:p>
        </w:tc>
        <w:tc>
          <w:tcPr>
            <w:tcW w:w="2551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6293" w:rsidRPr="00CE4D2A" w:rsidTr="00AC01BF">
        <w:trPr>
          <w:cantSplit/>
          <w:trHeight w:val="460"/>
        </w:trPr>
        <w:tc>
          <w:tcPr>
            <w:tcW w:w="540" w:type="dxa"/>
          </w:tcPr>
          <w:p w:rsidR="006E6293" w:rsidRDefault="006E6293" w:rsidP="006E62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</w:tcPr>
          <w:p w:rsidR="006E6293" w:rsidRPr="00515C7B" w:rsidRDefault="006E6293" w:rsidP="00FA5DED">
            <w:pPr>
              <w:ind w:left="39"/>
              <w:jc w:val="both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Газорегуляторный</w:t>
            </w:r>
            <w:proofErr w:type="spellEnd"/>
            <w:r w:rsidR="000D78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7B">
              <w:rPr>
                <w:sz w:val="20"/>
                <w:szCs w:val="20"/>
              </w:rPr>
              <w:t>пункт</w:t>
            </w:r>
            <w:proofErr w:type="spellEnd"/>
          </w:p>
          <w:p w:rsidR="006E6293" w:rsidRPr="00515C7B" w:rsidRDefault="006E6293" w:rsidP="00FA5DE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селе Старое Вечканово, на площадке №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5C7B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E6293" w:rsidRPr="00515C7B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C7B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производительность – до 300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куб</w:t>
            </w:r>
            <w:proofErr w:type="gramStart"/>
            <w:r w:rsidRPr="006E629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6E6293">
              <w:rPr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2551" w:type="dxa"/>
          </w:tcPr>
          <w:p w:rsidR="006E6293" w:rsidRPr="006E6293" w:rsidRDefault="006E6293" w:rsidP="00FA5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6E6293">
              <w:rPr>
                <w:sz w:val="20"/>
                <w:szCs w:val="20"/>
                <w:lang w:val="ru-RU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</w:t>
            </w:r>
            <w:r w:rsidRPr="00515C7B">
              <w:rPr>
                <w:sz w:val="20"/>
                <w:szCs w:val="20"/>
              </w:rPr>
              <w:t> </w:t>
            </w:r>
            <w:r w:rsidRPr="006E6293">
              <w:rPr>
                <w:sz w:val="20"/>
                <w:szCs w:val="20"/>
                <w:lang w:val="ru-RU"/>
              </w:rPr>
              <w:t>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</w:tbl>
    <w:p w:rsidR="001C316B" w:rsidRDefault="001C316B" w:rsidP="0087279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5462" w:rsidRDefault="008C5462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8C5462" w:rsidSect="00DC06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2C3F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сельского поселения </w:t>
      </w:r>
      <w:r w:rsidR="006E6293" w:rsidRPr="006E6293">
        <w:rPr>
          <w:color w:val="000000"/>
          <w:sz w:val="28"/>
          <w:szCs w:val="28"/>
        </w:rPr>
        <w:t>Старое Вечканово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BA5891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192C3F" w:rsidRDefault="00192C3F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72798" w:rsidRPr="00B501CB" w:rsidRDefault="00CE4D2A" w:rsidP="008727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49530</wp:posOffset>
            </wp:positionV>
            <wp:extent cx="1762125" cy="15525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98" w:rsidRPr="00B501CB">
        <w:rPr>
          <w:rFonts w:ascii="Times New Roman" w:hAnsi="Times New Roman"/>
          <w:sz w:val="28"/>
          <w:szCs w:val="28"/>
        </w:rPr>
        <w:t>Глава сельского поселения Старое Вечканово</w:t>
      </w:r>
    </w:p>
    <w:p w:rsidR="00872798" w:rsidRPr="00B501CB" w:rsidRDefault="00872798" w:rsidP="0087279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501CB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082092" w:rsidRPr="00872798" w:rsidRDefault="00872798" w:rsidP="0087279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501C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54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501CB">
        <w:rPr>
          <w:rFonts w:ascii="Times New Roman" w:hAnsi="Times New Roman"/>
          <w:sz w:val="28"/>
          <w:szCs w:val="28"/>
        </w:rPr>
        <w:t>А.Н.Барышев</w:t>
      </w:r>
      <w:proofErr w:type="spellEnd"/>
    </w:p>
    <w:sectPr w:rsidR="00082092" w:rsidRPr="00872798" w:rsidSect="008C546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41"/>
    <w:rsid w:val="000D7898"/>
    <w:rsid w:val="00192C3F"/>
    <w:rsid w:val="001C316B"/>
    <w:rsid w:val="00374ECF"/>
    <w:rsid w:val="003E6608"/>
    <w:rsid w:val="00525041"/>
    <w:rsid w:val="005273AE"/>
    <w:rsid w:val="005519F8"/>
    <w:rsid w:val="005D6FD6"/>
    <w:rsid w:val="006E6293"/>
    <w:rsid w:val="007415D1"/>
    <w:rsid w:val="007418FE"/>
    <w:rsid w:val="007A5F72"/>
    <w:rsid w:val="008205D3"/>
    <w:rsid w:val="0082234D"/>
    <w:rsid w:val="00852FF4"/>
    <w:rsid w:val="00872798"/>
    <w:rsid w:val="008808C3"/>
    <w:rsid w:val="008C5462"/>
    <w:rsid w:val="00B47EB4"/>
    <w:rsid w:val="00BA5891"/>
    <w:rsid w:val="00CE4D2A"/>
    <w:rsid w:val="00DC0648"/>
    <w:rsid w:val="00E539E0"/>
    <w:rsid w:val="00EE5F00"/>
    <w:rsid w:val="00F1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5273AE"/>
    <w:pPr>
      <w:ind w:left="720"/>
      <w:contextualSpacing/>
    </w:pPr>
  </w:style>
  <w:style w:type="paragraph" w:styleId="a9">
    <w:name w:val="No Spacing"/>
    <w:link w:val="aa"/>
    <w:uiPriority w:val="1"/>
    <w:qFormat/>
    <w:rsid w:val="000D78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0D78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val="x-none" w:eastAsia="x-none"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x-none"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dcterms:created xsi:type="dcterms:W3CDTF">2023-10-11T05:59:00Z</dcterms:created>
  <dcterms:modified xsi:type="dcterms:W3CDTF">2023-11-30T12:04:00Z</dcterms:modified>
</cp:coreProperties>
</file>