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ECA" w:rsidRDefault="00D35885">
      <w:pPr>
        <w:pStyle w:val="a0"/>
        <w:spacing w:after="0"/>
        <w:ind w:left="0" w:right="0" w:firstLine="567"/>
        <w:jc w:val="both"/>
        <w:rPr>
          <w:color w:val="960606"/>
        </w:rPr>
      </w:pPr>
      <w:bookmarkStart w:id="0" w:name="_GoBack"/>
      <w:bookmarkEnd w:id="0"/>
      <w:r>
        <w:rPr>
          <w:color w:val="960606"/>
        </w:rPr>
        <w:t>Документ подписан электронной подписью:</w:t>
      </w:r>
    </w:p>
    <w:p w:rsidR="00223ECA" w:rsidRDefault="00D35885">
      <w:pPr>
        <w:pStyle w:val="a0"/>
        <w:spacing w:after="0"/>
        <w:ind w:left="0" w:right="0" w:firstLine="567"/>
        <w:jc w:val="both"/>
        <w:rPr>
          <w:color w:val="960606"/>
        </w:rPr>
      </w:pPr>
      <w:r>
        <w:rPr>
          <w:color w:val="960606"/>
        </w:rPr>
        <w:t xml:space="preserve">Владелец: </w:t>
      </w:r>
      <w:proofErr w:type="spellStart"/>
      <w:r>
        <w:rPr>
          <w:color w:val="960606"/>
        </w:rPr>
        <w:t>Падовский</w:t>
      </w:r>
      <w:proofErr w:type="spellEnd"/>
      <w:r>
        <w:rPr>
          <w:color w:val="960606"/>
        </w:rPr>
        <w:t xml:space="preserve"> сельсовет Липецкого района</w:t>
      </w:r>
    </w:p>
    <w:p w:rsidR="00223ECA" w:rsidRDefault="00D35885">
      <w:pPr>
        <w:pStyle w:val="a0"/>
        <w:spacing w:after="0"/>
        <w:ind w:left="0" w:right="0" w:firstLine="567"/>
        <w:jc w:val="both"/>
        <w:rPr>
          <w:color w:val="960606"/>
        </w:rPr>
      </w:pPr>
      <w:r>
        <w:rPr>
          <w:color w:val="960606"/>
        </w:rPr>
        <w:t xml:space="preserve">Должность: Глава </w:t>
      </w:r>
      <w:proofErr w:type="spellStart"/>
      <w:r>
        <w:rPr>
          <w:color w:val="960606"/>
        </w:rPr>
        <w:t>Падовского</w:t>
      </w:r>
      <w:proofErr w:type="spellEnd"/>
      <w:r>
        <w:rPr>
          <w:color w:val="960606"/>
        </w:rPr>
        <w:t xml:space="preserve"> сельсовета Липецкого района</w:t>
      </w:r>
    </w:p>
    <w:p w:rsidR="00223ECA" w:rsidRDefault="00D35885">
      <w:pPr>
        <w:pStyle w:val="a0"/>
        <w:spacing w:after="0"/>
        <w:ind w:left="0" w:right="0" w:firstLine="567"/>
        <w:jc w:val="both"/>
        <w:rPr>
          <w:color w:val="960606"/>
        </w:rPr>
      </w:pPr>
      <w:r>
        <w:rPr>
          <w:color w:val="960606"/>
        </w:rPr>
        <w:t>Дата подписи: 08.11.2018 11:28:48</w:t>
      </w:r>
    </w:p>
    <w:p w:rsidR="00223ECA" w:rsidRDefault="00223ECA">
      <w:pPr>
        <w:pStyle w:val="a0"/>
        <w:spacing w:after="0"/>
        <w:ind w:left="0" w:right="0" w:firstLine="567"/>
        <w:jc w:val="both"/>
      </w:pPr>
    </w:p>
    <w:p w:rsidR="00223ECA" w:rsidRDefault="00D35885">
      <w:pPr>
        <w:pStyle w:val="a0"/>
        <w:spacing w:after="0"/>
        <w:ind w:left="0" w:right="0"/>
        <w:jc w:val="center"/>
      </w:pPr>
      <w:r>
        <w:t>РОССИЙСКАЯ ФЕДЕРАЦИЯ</w:t>
      </w:r>
    </w:p>
    <w:p w:rsidR="00223ECA" w:rsidRDefault="00223ECA">
      <w:pPr>
        <w:pStyle w:val="a0"/>
        <w:spacing w:after="0"/>
        <w:ind w:left="0" w:right="0" w:firstLine="567"/>
        <w:jc w:val="both"/>
      </w:pPr>
    </w:p>
    <w:p w:rsidR="00223ECA" w:rsidRDefault="00D35885">
      <w:pPr>
        <w:pStyle w:val="a0"/>
        <w:spacing w:after="0"/>
        <w:ind w:left="0" w:right="0"/>
        <w:jc w:val="center"/>
      </w:pPr>
      <w:r>
        <w:t>ЛИПЕЦКАЯ ОБЛАСТЬ</w:t>
      </w:r>
    </w:p>
    <w:p w:rsidR="00223ECA" w:rsidRDefault="00223ECA">
      <w:pPr>
        <w:pStyle w:val="a0"/>
        <w:spacing w:after="0"/>
        <w:ind w:left="0" w:right="0" w:firstLine="567"/>
        <w:jc w:val="both"/>
      </w:pPr>
    </w:p>
    <w:p w:rsidR="00223ECA" w:rsidRDefault="00D35885">
      <w:pPr>
        <w:pStyle w:val="a0"/>
        <w:spacing w:after="0"/>
        <w:ind w:left="0" w:right="0"/>
        <w:jc w:val="center"/>
      </w:pPr>
      <w:r>
        <w:t>ЛИПЕЦКИЙ МУНИЦИПАЛЬНЫЙ РАЙОН</w:t>
      </w:r>
    </w:p>
    <w:p w:rsidR="00223ECA" w:rsidRDefault="00223ECA">
      <w:pPr>
        <w:pStyle w:val="a0"/>
        <w:spacing w:after="0"/>
        <w:ind w:left="0" w:right="0" w:firstLine="567"/>
        <w:jc w:val="both"/>
      </w:pPr>
    </w:p>
    <w:p w:rsidR="00223ECA" w:rsidRDefault="00D35885">
      <w:pPr>
        <w:pStyle w:val="a0"/>
        <w:spacing w:after="0"/>
        <w:ind w:left="0" w:right="0"/>
        <w:jc w:val="center"/>
      </w:pPr>
      <w:r>
        <w:t xml:space="preserve">Совет </w:t>
      </w:r>
      <w:r>
        <w:t xml:space="preserve">депутатов сельского поселения </w:t>
      </w:r>
      <w:proofErr w:type="spellStart"/>
      <w:r>
        <w:t>Падовский</w:t>
      </w:r>
      <w:proofErr w:type="spellEnd"/>
      <w:r>
        <w:t xml:space="preserve"> сельсовет</w:t>
      </w:r>
    </w:p>
    <w:p w:rsidR="00223ECA" w:rsidRDefault="00223ECA">
      <w:pPr>
        <w:pStyle w:val="a0"/>
        <w:spacing w:after="0"/>
        <w:ind w:left="0" w:right="0" w:firstLine="567"/>
        <w:jc w:val="both"/>
      </w:pPr>
    </w:p>
    <w:p w:rsidR="00223ECA" w:rsidRDefault="00D35885">
      <w:pPr>
        <w:pStyle w:val="a0"/>
        <w:spacing w:after="0"/>
        <w:ind w:left="0" w:right="0"/>
        <w:jc w:val="center"/>
      </w:pPr>
      <w:r>
        <w:t>Тридцать первая сессия пятого созыва</w:t>
      </w:r>
    </w:p>
    <w:p w:rsidR="00223ECA" w:rsidRDefault="00223ECA">
      <w:pPr>
        <w:pStyle w:val="a0"/>
        <w:spacing w:after="0"/>
        <w:ind w:left="0" w:right="0" w:firstLine="567"/>
        <w:jc w:val="both"/>
      </w:pPr>
    </w:p>
    <w:p w:rsidR="00223ECA" w:rsidRDefault="00D35885">
      <w:pPr>
        <w:pStyle w:val="a0"/>
        <w:spacing w:after="0"/>
        <w:ind w:left="0" w:right="0"/>
        <w:jc w:val="center"/>
      </w:pPr>
      <w:r>
        <w:t>РЕШЕНИЕ</w:t>
      </w:r>
    </w:p>
    <w:p w:rsidR="00223ECA" w:rsidRDefault="00223ECA">
      <w:pPr>
        <w:pStyle w:val="a0"/>
        <w:spacing w:after="0"/>
        <w:ind w:left="0" w:right="0" w:firstLine="567"/>
        <w:jc w:val="both"/>
      </w:pPr>
    </w:p>
    <w:p w:rsidR="00223ECA" w:rsidRDefault="00D35885">
      <w:pPr>
        <w:pStyle w:val="a0"/>
        <w:spacing w:after="0"/>
        <w:ind w:left="0" w:right="0"/>
        <w:jc w:val="center"/>
      </w:pPr>
      <w:r>
        <w:t xml:space="preserve">18.10.2018                                        с. </w:t>
      </w:r>
      <w:proofErr w:type="spellStart"/>
      <w:r>
        <w:t>Пады</w:t>
      </w:r>
      <w:proofErr w:type="spellEnd"/>
      <w:r>
        <w:t>                                           № 180</w:t>
      </w:r>
    </w:p>
    <w:p w:rsidR="00223ECA" w:rsidRDefault="00223ECA">
      <w:pPr>
        <w:pStyle w:val="a0"/>
        <w:spacing w:after="0"/>
        <w:ind w:left="0" w:right="0" w:firstLine="567"/>
        <w:jc w:val="both"/>
      </w:pPr>
    </w:p>
    <w:p w:rsidR="00223ECA" w:rsidRDefault="00D35885">
      <w:pPr>
        <w:pStyle w:val="1"/>
        <w:spacing w:after="60"/>
        <w:ind w:left="0" w:right="0"/>
        <w:jc w:val="center"/>
        <w:rPr>
          <w:rFonts w:ascii="Arial" w:hAnsi="Arial"/>
          <w:sz w:val="32"/>
        </w:rPr>
      </w:pPr>
      <w:proofErr w:type="gramStart"/>
      <w:r>
        <w:rPr>
          <w:rFonts w:ascii="Arial" w:hAnsi="Arial"/>
          <w:sz w:val="32"/>
        </w:rPr>
        <w:t>О внесении изменений в Положение о налоге на имущес</w:t>
      </w:r>
      <w:r>
        <w:rPr>
          <w:rFonts w:ascii="Arial" w:hAnsi="Arial"/>
          <w:sz w:val="32"/>
        </w:rPr>
        <w:t>тво физических лиц на территории</w:t>
      </w:r>
      <w:proofErr w:type="gramEnd"/>
      <w:r>
        <w:rPr>
          <w:rFonts w:ascii="Arial" w:hAnsi="Arial"/>
          <w:sz w:val="32"/>
        </w:rPr>
        <w:t xml:space="preserve"> сельского поселения </w:t>
      </w:r>
      <w:proofErr w:type="spellStart"/>
      <w:r>
        <w:rPr>
          <w:rFonts w:ascii="Arial" w:hAnsi="Arial"/>
          <w:sz w:val="32"/>
        </w:rPr>
        <w:t>Падовский</w:t>
      </w:r>
      <w:proofErr w:type="spellEnd"/>
      <w:r>
        <w:rPr>
          <w:rFonts w:ascii="Arial" w:hAnsi="Arial"/>
          <w:sz w:val="32"/>
        </w:rPr>
        <w:t xml:space="preserve"> сельсовет Липецкого муниципального района Липецкой области Российской Федерации</w:t>
      </w:r>
    </w:p>
    <w:p w:rsidR="00223ECA" w:rsidRDefault="00223ECA">
      <w:pPr>
        <w:pStyle w:val="a0"/>
        <w:spacing w:after="0"/>
        <w:ind w:left="0" w:right="0" w:firstLine="567"/>
        <w:jc w:val="both"/>
      </w:pPr>
    </w:p>
    <w:p w:rsidR="00223ECA" w:rsidRDefault="00D35885">
      <w:pPr>
        <w:pStyle w:val="a0"/>
        <w:spacing w:after="0"/>
        <w:ind w:left="0" w:right="0" w:firstLine="567"/>
        <w:jc w:val="both"/>
      </w:pPr>
      <w:proofErr w:type="gramStart"/>
      <w:r>
        <w:t xml:space="preserve">В соответствии с главой 32 "Налог на имущество физических лиц" </w:t>
      </w:r>
      <w:hyperlink r:id="rId5">
        <w:r>
          <w:rPr>
            <w:rStyle w:val="InternetLink"/>
            <w:color w:val="0000FF"/>
            <w:u w:val="none"/>
          </w:rPr>
          <w:t>Налогового кодекса Российской Федерации</w:t>
        </w:r>
      </w:hyperlink>
      <w:r>
        <w:t>, Законом Липецкой области № 87-ОЗ от 07.08.2017 г. "Об установлении единой даты начала применения на территории Липецкой области порядка определения налоговой базы п</w:t>
      </w:r>
      <w:r>
        <w:t xml:space="preserve">о налогу на имущество физических лиц исходя из кадастровой стоимости объектов налогообложения", </w:t>
      </w:r>
      <w:hyperlink r:id="rId6">
        <w:r>
          <w:rPr>
            <w:rStyle w:val="InternetLink"/>
            <w:color w:val="0000FF"/>
            <w:u w:val="none"/>
          </w:rPr>
          <w:t xml:space="preserve">Уставом сельского поселения </w:t>
        </w:r>
        <w:proofErr w:type="spellStart"/>
        <w:r>
          <w:rPr>
            <w:rStyle w:val="InternetLink"/>
            <w:color w:val="0000FF"/>
            <w:u w:val="none"/>
          </w:rPr>
          <w:t>Падовский</w:t>
        </w:r>
        <w:proofErr w:type="spellEnd"/>
        <w:r>
          <w:rPr>
            <w:rStyle w:val="InternetLink"/>
            <w:color w:val="0000FF"/>
            <w:u w:val="none"/>
          </w:rPr>
          <w:t xml:space="preserve"> сельсовет</w:t>
        </w:r>
      </w:hyperlink>
      <w:r>
        <w:t>, Совет депут</w:t>
      </w:r>
      <w:r>
        <w:t xml:space="preserve">атов сельского поселения </w:t>
      </w:r>
      <w:proofErr w:type="spellStart"/>
      <w:r>
        <w:t>Падовский</w:t>
      </w:r>
      <w:proofErr w:type="spellEnd"/>
      <w:r>
        <w:t xml:space="preserve"> сельсовет</w:t>
      </w:r>
      <w:proofErr w:type="gramEnd"/>
    </w:p>
    <w:p w:rsidR="00223ECA" w:rsidRDefault="00223ECA">
      <w:pPr>
        <w:pStyle w:val="a0"/>
        <w:spacing w:after="0"/>
        <w:ind w:left="0" w:right="0" w:firstLine="567"/>
        <w:jc w:val="both"/>
      </w:pPr>
    </w:p>
    <w:p w:rsidR="00223ECA" w:rsidRDefault="00D35885">
      <w:pPr>
        <w:pStyle w:val="a0"/>
        <w:spacing w:after="0"/>
        <w:ind w:left="0" w:right="0"/>
        <w:jc w:val="both"/>
      </w:pPr>
      <w:r>
        <w:t>РЕШИЛ:</w:t>
      </w:r>
    </w:p>
    <w:p w:rsidR="00223ECA" w:rsidRDefault="00223ECA">
      <w:pPr>
        <w:pStyle w:val="a0"/>
        <w:spacing w:after="0"/>
        <w:ind w:left="0" w:right="0" w:firstLine="567"/>
        <w:jc w:val="both"/>
      </w:pPr>
    </w:p>
    <w:p w:rsidR="00223ECA" w:rsidRDefault="00D35885">
      <w:pPr>
        <w:pStyle w:val="a0"/>
        <w:spacing w:after="0"/>
        <w:ind w:left="0" w:right="0" w:firstLine="567"/>
        <w:jc w:val="both"/>
      </w:pPr>
      <w:r>
        <w:t xml:space="preserve">1. </w:t>
      </w:r>
      <w:proofErr w:type="gramStart"/>
      <w:r>
        <w:t xml:space="preserve">Внести в статью 3 " Положения о налоге на имущество физических лиц на территории сельского поселения </w:t>
      </w:r>
      <w:proofErr w:type="spellStart"/>
      <w:r>
        <w:t>Падовский</w:t>
      </w:r>
      <w:proofErr w:type="spellEnd"/>
      <w:r>
        <w:t xml:space="preserve"> сельсовет Липецкого муниципального района Липецкой области Российской Федерации"</w:t>
      </w:r>
      <w:r>
        <w:t xml:space="preserve">, принятого решением Совета депутатов сельского поселения </w:t>
      </w:r>
      <w:proofErr w:type="spellStart"/>
      <w:r>
        <w:t>Падовский</w:t>
      </w:r>
      <w:proofErr w:type="spellEnd"/>
      <w:r>
        <w:t xml:space="preserve"> сельсовет Липецкого муниципального района Липецкой области Российской Федерации </w:t>
      </w:r>
      <w:hyperlink r:id="rId7">
        <w:r>
          <w:rPr>
            <w:rStyle w:val="InternetLink"/>
            <w:color w:val="0000FF"/>
            <w:u w:val="none"/>
          </w:rPr>
          <w:t>от 27.10</w:t>
        </w:r>
        <w:r>
          <w:rPr>
            <w:rStyle w:val="InternetLink"/>
            <w:color w:val="0000FF"/>
            <w:u w:val="none"/>
          </w:rPr>
          <w:t>.2017 г № 142</w:t>
        </w:r>
      </w:hyperlink>
      <w:r>
        <w:t xml:space="preserve"> (с изменениями </w:t>
      </w:r>
      <w:hyperlink r:id="rId8">
        <w:r>
          <w:rPr>
            <w:rStyle w:val="InternetLink"/>
            <w:color w:val="0000FF"/>
            <w:u w:val="none"/>
          </w:rPr>
          <w:t>от 09.02.2018 г № 152</w:t>
        </w:r>
      </w:hyperlink>
      <w:r>
        <w:t>) следующие изменения:</w:t>
      </w:r>
      <w:proofErr w:type="gramEnd"/>
    </w:p>
    <w:p w:rsidR="00223ECA" w:rsidRDefault="00D35885">
      <w:pPr>
        <w:pStyle w:val="a0"/>
        <w:spacing w:after="0"/>
        <w:ind w:left="0" w:right="0" w:firstLine="567"/>
        <w:jc w:val="both"/>
      </w:pPr>
      <w:r>
        <w:t>1. Статью 3 изложить в новой редакции:</w:t>
      </w:r>
    </w:p>
    <w:p w:rsidR="00223ECA" w:rsidRDefault="00223ECA">
      <w:pPr>
        <w:pStyle w:val="a0"/>
        <w:spacing w:after="0"/>
        <w:ind w:left="0" w:right="0" w:firstLine="567"/>
        <w:jc w:val="both"/>
      </w:pPr>
    </w:p>
    <w:p w:rsidR="00223ECA" w:rsidRDefault="00D35885">
      <w:pPr>
        <w:pStyle w:val="a0"/>
        <w:spacing w:after="0"/>
        <w:ind w:left="0" w:right="0" w:firstLine="567"/>
        <w:jc w:val="both"/>
      </w:pPr>
      <w:r>
        <w:t xml:space="preserve">3. Установить налоговые ставки в следующих </w:t>
      </w:r>
      <w:r>
        <w:t>размерах:</w:t>
      </w:r>
    </w:p>
    <w:p w:rsidR="00223ECA" w:rsidRDefault="00223ECA">
      <w:pPr>
        <w:pStyle w:val="a0"/>
        <w:spacing w:after="0"/>
        <w:ind w:left="0" w:right="0" w:firstLine="567"/>
        <w:jc w:val="both"/>
      </w:pPr>
    </w:p>
    <w:tbl>
      <w:tblPr>
        <w:tblW w:w="4935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20"/>
        <w:gridCol w:w="3215"/>
        <w:gridCol w:w="1400"/>
      </w:tblGrid>
      <w:tr w:rsidR="00223ECA">
        <w:tc>
          <w:tcPr>
            <w:tcW w:w="320" w:type="dxa"/>
            <w:shd w:val="clear" w:color="auto" w:fill="auto"/>
          </w:tcPr>
          <w:p w:rsidR="00223ECA" w:rsidRDefault="00223EC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15" w:type="dxa"/>
            <w:shd w:val="clear" w:color="auto" w:fill="auto"/>
          </w:tcPr>
          <w:p w:rsidR="00223ECA" w:rsidRDefault="00D35885">
            <w:pPr>
              <w:pStyle w:val="TableContents"/>
              <w:spacing w:after="0"/>
              <w:ind w:left="0" w:right="0"/>
              <w:jc w:val="both"/>
            </w:pPr>
            <w:r>
              <w:t>Объект налогообложения</w:t>
            </w:r>
          </w:p>
        </w:tc>
        <w:tc>
          <w:tcPr>
            <w:tcW w:w="1400" w:type="dxa"/>
            <w:shd w:val="clear" w:color="auto" w:fill="auto"/>
          </w:tcPr>
          <w:p w:rsidR="00223ECA" w:rsidRDefault="00D35885">
            <w:pPr>
              <w:pStyle w:val="TableContents"/>
              <w:spacing w:after="0"/>
              <w:ind w:left="0" w:right="0"/>
              <w:jc w:val="both"/>
            </w:pPr>
            <w:r>
              <w:t>Налоговая ставка,</w:t>
            </w:r>
          </w:p>
          <w:p w:rsidR="00223ECA" w:rsidRDefault="00D35885">
            <w:pPr>
              <w:pStyle w:val="TableContents"/>
              <w:spacing w:after="0"/>
              <w:ind w:left="0" w:right="0"/>
              <w:jc w:val="both"/>
            </w:pPr>
            <w:r>
              <w:t>в процентах</w:t>
            </w:r>
          </w:p>
        </w:tc>
      </w:tr>
      <w:tr w:rsidR="00223ECA">
        <w:tc>
          <w:tcPr>
            <w:tcW w:w="320" w:type="dxa"/>
            <w:shd w:val="clear" w:color="auto" w:fill="auto"/>
          </w:tcPr>
          <w:p w:rsidR="00223ECA" w:rsidRDefault="00D35885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3215" w:type="dxa"/>
            <w:shd w:val="clear" w:color="auto" w:fill="auto"/>
          </w:tcPr>
          <w:p w:rsidR="00223ECA" w:rsidRDefault="00D35885">
            <w:pPr>
              <w:pStyle w:val="TableContents"/>
              <w:spacing w:after="0"/>
              <w:ind w:left="0" w:right="0"/>
              <w:jc w:val="both"/>
            </w:pPr>
            <w:r>
              <w:t>Жилых домов, части жилых домов, квартир, частей квартир, комнат</w:t>
            </w:r>
          </w:p>
        </w:tc>
        <w:tc>
          <w:tcPr>
            <w:tcW w:w="1400" w:type="dxa"/>
            <w:shd w:val="clear" w:color="auto" w:fill="auto"/>
          </w:tcPr>
          <w:p w:rsidR="00223ECA" w:rsidRDefault="00D35885">
            <w:pPr>
              <w:pStyle w:val="TableContents"/>
              <w:spacing w:after="0"/>
              <w:ind w:left="0" w:right="0"/>
              <w:jc w:val="both"/>
            </w:pPr>
            <w:r>
              <w:t>0,1%</w:t>
            </w:r>
          </w:p>
        </w:tc>
      </w:tr>
      <w:tr w:rsidR="00223ECA">
        <w:tc>
          <w:tcPr>
            <w:tcW w:w="320" w:type="dxa"/>
            <w:shd w:val="clear" w:color="auto" w:fill="auto"/>
          </w:tcPr>
          <w:p w:rsidR="00223ECA" w:rsidRDefault="00D35885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3215" w:type="dxa"/>
            <w:shd w:val="clear" w:color="auto" w:fill="auto"/>
          </w:tcPr>
          <w:p w:rsidR="00223ECA" w:rsidRDefault="00D35885">
            <w:pPr>
              <w:pStyle w:val="TableContents"/>
              <w:spacing w:after="0"/>
              <w:ind w:left="0" w:right="0"/>
              <w:jc w:val="both"/>
            </w:pPr>
            <w:r>
              <w:t>Объекты незавершенного строительства в случае, если проектируемым назначением таких объектов является жилой дом</w:t>
            </w:r>
          </w:p>
        </w:tc>
        <w:tc>
          <w:tcPr>
            <w:tcW w:w="1400" w:type="dxa"/>
            <w:shd w:val="clear" w:color="auto" w:fill="auto"/>
          </w:tcPr>
          <w:p w:rsidR="00223ECA" w:rsidRDefault="00223ECA">
            <w:pPr>
              <w:pStyle w:val="TableContents"/>
              <w:spacing w:after="0"/>
              <w:ind w:left="0" w:right="0"/>
              <w:jc w:val="both"/>
            </w:pPr>
          </w:p>
          <w:p w:rsidR="00223ECA" w:rsidRDefault="00223ECA">
            <w:pPr>
              <w:pStyle w:val="TableContents"/>
              <w:spacing w:after="0"/>
              <w:ind w:left="0" w:right="0"/>
              <w:jc w:val="both"/>
            </w:pPr>
          </w:p>
          <w:p w:rsidR="00223ECA" w:rsidRDefault="00D35885">
            <w:pPr>
              <w:pStyle w:val="TableContents"/>
              <w:spacing w:after="0"/>
              <w:ind w:left="0" w:right="0"/>
              <w:jc w:val="both"/>
            </w:pPr>
            <w:r>
              <w:t>0,1%</w:t>
            </w:r>
          </w:p>
          <w:p w:rsidR="00223ECA" w:rsidRDefault="00223ECA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223ECA">
        <w:tc>
          <w:tcPr>
            <w:tcW w:w="320" w:type="dxa"/>
            <w:shd w:val="clear" w:color="auto" w:fill="auto"/>
          </w:tcPr>
          <w:p w:rsidR="00223ECA" w:rsidRDefault="00D35885">
            <w:pPr>
              <w:pStyle w:val="TableContents"/>
              <w:spacing w:after="0"/>
              <w:ind w:left="0" w:right="0"/>
              <w:jc w:val="both"/>
            </w:pPr>
            <w:r>
              <w:t>3</w:t>
            </w:r>
          </w:p>
        </w:tc>
        <w:tc>
          <w:tcPr>
            <w:tcW w:w="3215" w:type="dxa"/>
            <w:shd w:val="clear" w:color="auto" w:fill="auto"/>
          </w:tcPr>
          <w:p w:rsidR="00223ECA" w:rsidRDefault="00D35885">
            <w:pPr>
              <w:pStyle w:val="TableContents"/>
              <w:spacing w:after="0"/>
              <w:ind w:left="0" w:right="0"/>
              <w:jc w:val="both"/>
            </w:pPr>
            <w:r>
              <w:t>Единые недвижимые комплексы, в состав которых входит хотя бы одно жилое помещение (жилой дом)</w:t>
            </w:r>
          </w:p>
          <w:p w:rsidR="00223ECA" w:rsidRDefault="00223EC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00" w:type="dxa"/>
            <w:shd w:val="clear" w:color="auto" w:fill="auto"/>
          </w:tcPr>
          <w:p w:rsidR="00223ECA" w:rsidRDefault="00223ECA">
            <w:pPr>
              <w:pStyle w:val="TableContents"/>
              <w:spacing w:after="0"/>
              <w:ind w:left="0" w:right="0"/>
              <w:jc w:val="both"/>
            </w:pPr>
          </w:p>
          <w:p w:rsidR="00223ECA" w:rsidRDefault="00D35885">
            <w:pPr>
              <w:pStyle w:val="TableContents"/>
              <w:spacing w:after="0"/>
              <w:ind w:left="0" w:right="0"/>
              <w:jc w:val="both"/>
            </w:pPr>
            <w:r>
              <w:t>0,1%</w:t>
            </w:r>
          </w:p>
          <w:p w:rsidR="00223ECA" w:rsidRDefault="00223ECA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223ECA">
        <w:tc>
          <w:tcPr>
            <w:tcW w:w="320" w:type="dxa"/>
            <w:shd w:val="clear" w:color="auto" w:fill="auto"/>
          </w:tcPr>
          <w:p w:rsidR="00223ECA" w:rsidRDefault="00D35885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3215" w:type="dxa"/>
            <w:shd w:val="clear" w:color="auto" w:fill="auto"/>
          </w:tcPr>
          <w:p w:rsidR="00223ECA" w:rsidRDefault="00D35885">
            <w:pPr>
              <w:pStyle w:val="TableContents"/>
              <w:spacing w:after="0"/>
              <w:ind w:left="0" w:right="0"/>
              <w:jc w:val="both"/>
            </w:pPr>
            <w:r>
              <w:t xml:space="preserve">Гаражи и </w:t>
            </w:r>
            <w:proofErr w:type="spellStart"/>
            <w:r>
              <w:t>машино</w:t>
            </w:r>
            <w:proofErr w:type="spellEnd"/>
            <w:r>
              <w:t>-места, в том числе расположенные в объектах налогообложения, указанных в подпункте 2 пункта 2 статьи 406 НК РФ </w:t>
            </w:r>
          </w:p>
        </w:tc>
        <w:tc>
          <w:tcPr>
            <w:tcW w:w="1400" w:type="dxa"/>
            <w:shd w:val="clear" w:color="auto" w:fill="auto"/>
          </w:tcPr>
          <w:p w:rsidR="00223ECA" w:rsidRDefault="00D35885">
            <w:pPr>
              <w:pStyle w:val="TableContents"/>
              <w:spacing w:after="0"/>
              <w:ind w:left="0" w:right="0"/>
              <w:jc w:val="both"/>
            </w:pPr>
            <w:r>
              <w:t>0,1%</w:t>
            </w:r>
          </w:p>
        </w:tc>
      </w:tr>
      <w:tr w:rsidR="00223ECA">
        <w:tc>
          <w:tcPr>
            <w:tcW w:w="320" w:type="dxa"/>
            <w:shd w:val="clear" w:color="auto" w:fill="auto"/>
          </w:tcPr>
          <w:p w:rsidR="00223ECA" w:rsidRDefault="00D35885">
            <w:pPr>
              <w:pStyle w:val="TableContents"/>
              <w:spacing w:after="0"/>
              <w:ind w:left="0" w:right="0"/>
              <w:jc w:val="both"/>
            </w:pPr>
            <w:r>
              <w:t>5</w:t>
            </w:r>
          </w:p>
        </w:tc>
        <w:tc>
          <w:tcPr>
            <w:tcW w:w="3215" w:type="dxa"/>
            <w:shd w:val="clear" w:color="auto" w:fill="auto"/>
          </w:tcPr>
          <w:p w:rsidR="00223ECA" w:rsidRDefault="00D35885">
            <w:pPr>
              <w:pStyle w:val="TableContents"/>
              <w:spacing w:after="0"/>
              <w:ind w:left="0" w:right="0"/>
              <w:jc w:val="both"/>
            </w:pPr>
            <w:r>
              <w:t>Хозяйственные строения 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</w:t>
            </w:r>
            <w:r>
              <w:t>о жилищного строительства</w:t>
            </w:r>
          </w:p>
          <w:p w:rsidR="00223ECA" w:rsidRDefault="00223EC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00" w:type="dxa"/>
            <w:shd w:val="clear" w:color="auto" w:fill="auto"/>
          </w:tcPr>
          <w:p w:rsidR="00223ECA" w:rsidRDefault="00D35885">
            <w:pPr>
              <w:pStyle w:val="TableContents"/>
              <w:spacing w:after="0"/>
              <w:ind w:left="0" w:right="0"/>
              <w:jc w:val="both"/>
            </w:pPr>
            <w:r>
              <w:t>0,1%</w:t>
            </w:r>
          </w:p>
        </w:tc>
      </w:tr>
      <w:tr w:rsidR="00223ECA">
        <w:tc>
          <w:tcPr>
            <w:tcW w:w="320" w:type="dxa"/>
            <w:shd w:val="clear" w:color="auto" w:fill="auto"/>
          </w:tcPr>
          <w:p w:rsidR="00223ECA" w:rsidRDefault="00D35885">
            <w:pPr>
              <w:pStyle w:val="TableContents"/>
              <w:spacing w:after="0"/>
              <w:ind w:left="0" w:right="0"/>
              <w:jc w:val="both"/>
            </w:pPr>
            <w:r>
              <w:t>6</w:t>
            </w:r>
          </w:p>
        </w:tc>
        <w:tc>
          <w:tcPr>
            <w:tcW w:w="3215" w:type="dxa"/>
            <w:shd w:val="clear" w:color="auto" w:fill="auto"/>
          </w:tcPr>
          <w:p w:rsidR="00223ECA" w:rsidRDefault="00D35885">
            <w:pPr>
              <w:pStyle w:val="TableContents"/>
              <w:spacing w:after="0"/>
              <w:ind w:left="0" w:right="0"/>
              <w:jc w:val="both"/>
            </w:pPr>
            <w:r>
              <w:t xml:space="preserve">Объекты налогообложения, объекты налогообложения с кадастровой стоимостью свыше 300 </w:t>
            </w:r>
            <w:proofErr w:type="gramStart"/>
            <w:r>
              <w:t>млн</w:t>
            </w:r>
            <w:proofErr w:type="gramEnd"/>
            <w:r>
              <w:t xml:space="preserve"> рублей, а также административно-деловые и торговые центры ( комплексы) и помещения в них, нежилые помещения, предназначенные для разм</w:t>
            </w:r>
            <w:r>
              <w:t>ещения торговых объектов, объектов общественного питания и бытового обслуживания, офисов</w:t>
            </w:r>
          </w:p>
        </w:tc>
        <w:tc>
          <w:tcPr>
            <w:tcW w:w="1400" w:type="dxa"/>
            <w:shd w:val="clear" w:color="auto" w:fill="auto"/>
          </w:tcPr>
          <w:p w:rsidR="00223ECA" w:rsidRDefault="00223ECA">
            <w:pPr>
              <w:pStyle w:val="TableContents"/>
              <w:spacing w:after="0"/>
              <w:ind w:left="0" w:right="0"/>
              <w:jc w:val="both"/>
            </w:pPr>
          </w:p>
          <w:p w:rsidR="00223ECA" w:rsidRDefault="00223ECA">
            <w:pPr>
              <w:pStyle w:val="TableContents"/>
              <w:spacing w:after="0"/>
              <w:ind w:left="0" w:right="0"/>
              <w:jc w:val="both"/>
            </w:pPr>
          </w:p>
          <w:p w:rsidR="00223ECA" w:rsidRDefault="00D35885">
            <w:pPr>
              <w:pStyle w:val="TableContents"/>
              <w:spacing w:after="0"/>
              <w:ind w:left="0" w:right="0"/>
              <w:jc w:val="both"/>
            </w:pPr>
            <w:r>
              <w:t>2%</w:t>
            </w:r>
          </w:p>
          <w:p w:rsidR="00223ECA" w:rsidRDefault="00223ECA">
            <w:pPr>
              <w:pStyle w:val="TableContents"/>
              <w:spacing w:after="0"/>
              <w:ind w:left="0" w:right="0"/>
              <w:jc w:val="both"/>
            </w:pPr>
          </w:p>
          <w:p w:rsidR="00223ECA" w:rsidRDefault="00223ECA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223ECA">
        <w:tc>
          <w:tcPr>
            <w:tcW w:w="320" w:type="dxa"/>
            <w:shd w:val="clear" w:color="auto" w:fill="auto"/>
          </w:tcPr>
          <w:p w:rsidR="00223ECA" w:rsidRDefault="00D35885">
            <w:pPr>
              <w:pStyle w:val="TableContents"/>
              <w:spacing w:after="0"/>
              <w:ind w:left="0" w:right="0"/>
              <w:jc w:val="both"/>
            </w:pPr>
            <w:r>
              <w:t>7</w:t>
            </w:r>
          </w:p>
        </w:tc>
        <w:tc>
          <w:tcPr>
            <w:tcW w:w="3215" w:type="dxa"/>
            <w:shd w:val="clear" w:color="auto" w:fill="auto"/>
          </w:tcPr>
          <w:p w:rsidR="00223ECA" w:rsidRDefault="00D35885">
            <w:pPr>
              <w:pStyle w:val="TableContents"/>
              <w:spacing w:after="0"/>
              <w:ind w:left="0" w:right="0"/>
              <w:jc w:val="both"/>
            </w:pPr>
            <w:r>
              <w:t>Прочие объекты налогообложения</w:t>
            </w:r>
          </w:p>
          <w:p w:rsidR="00223ECA" w:rsidRDefault="00223EC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00" w:type="dxa"/>
            <w:shd w:val="clear" w:color="auto" w:fill="auto"/>
          </w:tcPr>
          <w:p w:rsidR="00223ECA" w:rsidRDefault="00D35885">
            <w:pPr>
              <w:pStyle w:val="TableContents"/>
              <w:spacing w:after="0"/>
              <w:ind w:left="0" w:right="0"/>
              <w:jc w:val="both"/>
            </w:pPr>
            <w:r>
              <w:t>0,5%</w:t>
            </w:r>
          </w:p>
        </w:tc>
      </w:tr>
    </w:tbl>
    <w:p w:rsidR="00223ECA" w:rsidRDefault="00223ECA">
      <w:pPr>
        <w:pStyle w:val="a0"/>
        <w:spacing w:after="0"/>
        <w:ind w:left="0" w:right="0" w:firstLine="567"/>
        <w:jc w:val="both"/>
      </w:pPr>
    </w:p>
    <w:p w:rsidR="00223ECA" w:rsidRDefault="00D35885">
      <w:pPr>
        <w:pStyle w:val="a0"/>
        <w:spacing w:after="0"/>
        <w:ind w:left="0" w:right="0" w:firstLine="567"/>
        <w:jc w:val="both"/>
      </w:pPr>
      <w:r>
        <w:t xml:space="preserve">2. Настоящее Положение вступает в силу со дня его официального опубликования и распространяется на </w:t>
      </w:r>
      <w:proofErr w:type="gramStart"/>
      <w:r>
        <w:t>правоотношения</w:t>
      </w:r>
      <w:proofErr w:type="gramEnd"/>
      <w:r>
        <w:t xml:space="preserve"> возникшие с 01.01.2018 года" (ч.5 ст.3 Федерального закона от 03.08.2018 N 334-ФЗ "О внесении изменений в статью 52 части первой и часть втору</w:t>
      </w:r>
      <w:r>
        <w:t xml:space="preserve">ю </w:t>
      </w:r>
      <w:hyperlink r:id="rId9">
        <w:r>
          <w:rPr>
            <w:rStyle w:val="InternetLink"/>
            <w:color w:val="0000FF"/>
            <w:u w:val="none"/>
          </w:rPr>
          <w:t>Налогового кодекса Российской Федерации</w:t>
        </w:r>
      </w:hyperlink>
      <w:r>
        <w:t>.</w:t>
      </w:r>
    </w:p>
    <w:p w:rsidR="00223ECA" w:rsidRDefault="00223ECA">
      <w:pPr>
        <w:pStyle w:val="a0"/>
        <w:spacing w:after="0"/>
        <w:ind w:left="0" w:right="0" w:firstLine="567"/>
        <w:jc w:val="both"/>
      </w:pPr>
    </w:p>
    <w:p w:rsidR="00223ECA" w:rsidRDefault="00223ECA">
      <w:pPr>
        <w:pStyle w:val="a0"/>
        <w:spacing w:after="0"/>
        <w:ind w:left="0" w:right="0" w:firstLine="567"/>
        <w:jc w:val="both"/>
      </w:pPr>
    </w:p>
    <w:p w:rsidR="00223ECA" w:rsidRDefault="00D35885">
      <w:pPr>
        <w:pStyle w:val="a0"/>
        <w:spacing w:after="0"/>
        <w:ind w:left="0" w:right="0"/>
        <w:jc w:val="both"/>
      </w:pPr>
      <w:r>
        <w:t xml:space="preserve">Председатель Совета депутатов сельского поселения </w:t>
      </w:r>
      <w:proofErr w:type="spellStart"/>
      <w:r>
        <w:t>Падовский</w:t>
      </w:r>
      <w:proofErr w:type="spellEnd"/>
      <w:r>
        <w:t xml:space="preserve"> сельсовет</w:t>
      </w:r>
    </w:p>
    <w:p w:rsidR="00223ECA" w:rsidRDefault="00D35885">
      <w:pPr>
        <w:pStyle w:val="a0"/>
        <w:spacing w:after="0"/>
        <w:ind w:left="0" w:right="0"/>
        <w:jc w:val="both"/>
      </w:pPr>
      <w:proofErr w:type="spellStart"/>
      <w:r>
        <w:t>В.А.Сафонов</w:t>
      </w:r>
      <w:proofErr w:type="spellEnd"/>
    </w:p>
    <w:sectPr w:rsidR="00223ECA">
      <w:pgSz w:w="11906" w:h="16838"/>
      <w:pgMar w:top="567" w:right="567" w:bottom="567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horndale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bany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113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ECA"/>
    <w:rsid w:val="00223ECA"/>
    <w:rsid w:val="00D3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Liberation Sans" w:hAnsi="Arial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before="150" w:after="150"/>
      <w:ind w:left="150" w:right="150"/>
    </w:pPr>
    <w:rPr>
      <w:color w:val="000000"/>
    </w:r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2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4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5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List"/>
    <w:basedOn w:val="a0"/>
  </w:style>
  <w:style w:type="paragraph" w:styleId="a0">
    <w:name w:val="Body Text"/>
    <w:basedOn w:val="a"/>
    <w:pPr>
      <w:spacing w:before="0" w:after="283"/>
    </w:p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Liberation Sans" w:hAnsi="Arial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before="150" w:after="150"/>
      <w:ind w:left="150" w:right="150"/>
    </w:pPr>
    <w:rPr>
      <w:color w:val="000000"/>
    </w:r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2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4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5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List"/>
    <w:basedOn w:val="a0"/>
  </w:style>
  <w:style w:type="paragraph" w:styleId="a0">
    <w:name w:val="Body Text"/>
    <w:basedOn w:val="a"/>
    <w:pPr>
      <w:spacing w:before="0" w:after="283"/>
    </w:p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1B220917-3727-E247-327C-447B116E2DD4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stup.scli.ru:8111/content/act/2D3F2A50-6B4C-5E6D-443C-5C52089D6942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stup.scli.ru:8111/content/act/1b42c9f4-66b3-4bf7-871e-0bd99166afc3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stup.scli.ru:8111/content/act/b5c1d49e-faad-4027-8721-c4ed5ca2f0a3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stup.scli.ru:8111/content/act/b5c1d49e-faad-4027-8721-c4ed5ca2f0a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Пады</dc:creator>
  <cp:lastModifiedBy>Пады</cp:lastModifiedBy>
  <cp:revision>2</cp:revision>
  <dcterms:created xsi:type="dcterms:W3CDTF">2020-10-30T09:18:00Z</dcterms:created>
  <dcterms:modified xsi:type="dcterms:W3CDTF">2020-10-30T09:18:00Z</dcterms:modified>
  <dc:language>en-US</dc:language>
</cp:coreProperties>
</file>